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375B8D04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F24300F" w:rsidR="00987B13" w:rsidRPr="00903332" w:rsidRDefault="00903332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013-04/26-01/1</w:t>
            </w: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68F63A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485F823F" w:rsidR="00987B13" w:rsidRPr="00903332" w:rsidRDefault="00903332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000000" w:themeColor="text1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Cs/>
                <w:color w:val="000000" w:themeColor="text1"/>
                <w:sz w:val="24"/>
                <w:szCs w:val="24"/>
                <w:lang w:eastAsia="hr-HR"/>
              </w:rPr>
              <w:t>2158-27-03-26-1</w:t>
            </w: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 xml:space="preserve">Odluka o Izmjeni Odluke o načinu pružanja javne usluge sakupljanja komunalnog otpada na području Općine </w:t>
            </w:r>
            <w:proofErr w:type="spellStart"/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Marijanci</w:t>
            </w:r>
            <w:proofErr w:type="spellEnd"/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Općina </w:t>
            </w:r>
            <w:proofErr w:type="spellStart"/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Marijanci</w:t>
            </w:r>
            <w:proofErr w:type="spellEnd"/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 xml:space="preserve">Javno savjetovanje provodi se u cilju donošenja Odluke o Izmjeni Odluke o načinu pružanja javne usluge sakupljanja komunalnog otpada na području Općine </w:t>
            </w:r>
            <w:proofErr w:type="spellStart"/>
            <w:r w:rsidRPr="0013057F">
              <w:rPr>
                <w:rFonts w:ascii="Cambria" w:hAnsi="Cambria"/>
                <w:bCs/>
                <w:sz w:val="24"/>
                <w:szCs w:val="24"/>
              </w:rPr>
              <w:t>Marijanci</w:t>
            </w:r>
            <w:proofErr w:type="spellEnd"/>
            <w:r w:rsidRPr="0013057F">
              <w:rPr>
                <w:rFonts w:ascii="Cambria" w:hAnsi="Cambria"/>
                <w:bCs/>
                <w:sz w:val="24"/>
                <w:szCs w:val="24"/>
              </w:rPr>
              <w:t>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7C014D7C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U postupak izrade dokumenta bili su uključeni službenici Općine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Marijanci</w:t>
            </w:r>
            <w:proofErr w:type="spellEnd"/>
            <w:r w:rsidR="0080537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https://www.marijanci.hr/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https://proracun.hr/savjetovanja-detalji.php?kid=99&amp;id=7732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27.02.2026 - 29.03.2026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Ivan Pandurić,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mag.oec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13149583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30.03.2026</w:t>
            </w:r>
            <w:r w:rsidR="00903332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C4FC6" w14:textId="77777777" w:rsidR="00602749" w:rsidRDefault="00602749" w:rsidP="00765084">
      <w:pPr>
        <w:spacing w:after="0" w:line="240" w:lineRule="auto"/>
      </w:pPr>
      <w:r>
        <w:separator/>
      </w:r>
    </w:p>
  </w:endnote>
  <w:endnote w:type="continuationSeparator" w:id="0">
    <w:p w14:paraId="5FE183AC" w14:textId="77777777" w:rsidR="00602749" w:rsidRDefault="00602749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256F4" w14:textId="77777777" w:rsidR="00602749" w:rsidRDefault="00602749" w:rsidP="00765084">
      <w:pPr>
        <w:spacing w:after="0" w:line="240" w:lineRule="auto"/>
      </w:pPr>
      <w:r>
        <w:separator/>
      </w:r>
    </w:p>
  </w:footnote>
  <w:footnote w:type="continuationSeparator" w:id="0">
    <w:p w14:paraId="5E887E53" w14:textId="77777777" w:rsidR="00602749" w:rsidRDefault="00602749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MARIJANCI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MARIJANCI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919"/>
    <w:rsid w:val="00214FDE"/>
    <w:rsid w:val="00215078"/>
    <w:rsid w:val="002249F9"/>
    <w:rsid w:val="002253D1"/>
    <w:rsid w:val="00236EB8"/>
    <w:rsid w:val="00244AD4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2749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24DD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372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332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77443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27E47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1487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Supervisor</cp:lastModifiedBy>
  <cp:revision>15</cp:revision>
  <cp:lastPrinted>2026-04-09T10:28:00Z</cp:lastPrinted>
  <dcterms:created xsi:type="dcterms:W3CDTF">2025-11-20T10:01:00Z</dcterms:created>
  <dcterms:modified xsi:type="dcterms:W3CDTF">2026-04-09T10:28:00Z</dcterms:modified>
</cp:coreProperties>
</file>