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5284" w14:textId="77777777" w:rsidR="008702BF" w:rsidRDefault="001A4113" w:rsidP="0057637E">
      <w:pPr>
        <w:pStyle w:val="Tijeloteksta"/>
        <w:spacing w:before="76"/>
        <w:ind w:left="141"/>
        <w:jc w:val="both"/>
      </w:pPr>
      <w:r>
        <w:t>Na</w:t>
      </w:r>
      <w:r>
        <w:rPr>
          <w:spacing w:val="4"/>
        </w:rPr>
        <w:t xml:space="preserve"> </w:t>
      </w:r>
      <w:r>
        <w:t>temelju</w:t>
      </w:r>
      <w:r>
        <w:rPr>
          <w:spacing w:val="6"/>
        </w:rPr>
        <w:t xml:space="preserve"> </w:t>
      </w:r>
      <w:r>
        <w:t>članka</w:t>
      </w:r>
      <w:r>
        <w:rPr>
          <w:spacing w:val="7"/>
        </w:rPr>
        <w:t xml:space="preserve"> </w:t>
      </w:r>
      <w:r>
        <w:t>78.</w:t>
      </w:r>
      <w:r>
        <w:rPr>
          <w:spacing w:val="6"/>
        </w:rPr>
        <w:t xml:space="preserve"> </w:t>
      </w:r>
      <w:r>
        <w:t>Zakona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koncesijama</w:t>
      </w:r>
      <w:r>
        <w:rPr>
          <w:spacing w:val="8"/>
        </w:rPr>
        <w:t xml:space="preserve"> </w:t>
      </w:r>
      <w:r>
        <w:t>(»Narodne</w:t>
      </w:r>
      <w:r>
        <w:rPr>
          <w:spacing w:val="5"/>
        </w:rPr>
        <w:t xml:space="preserve"> </w:t>
      </w:r>
      <w:r>
        <w:t>novine«</w:t>
      </w:r>
      <w:r>
        <w:rPr>
          <w:spacing w:val="5"/>
        </w:rPr>
        <w:t xml:space="preserve"> </w:t>
      </w:r>
      <w:r>
        <w:t>broj</w:t>
      </w:r>
      <w:r>
        <w:rPr>
          <w:spacing w:val="10"/>
        </w:rPr>
        <w:t xml:space="preserve"> </w:t>
      </w:r>
      <w:r>
        <w:t>69/17,</w:t>
      </w:r>
      <w:r>
        <w:rPr>
          <w:spacing w:val="6"/>
        </w:rPr>
        <w:t xml:space="preserve"> </w:t>
      </w:r>
      <w:r>
        <w:t>107/20)</w:t>
      </w:r>
      <w:r w:rsidR="0057637E">
        <w:t>, članka 35. Zakona o lokalnoj i područnoj (regionalnoj)</w:t>
      </w:r>
      <w:r w:rsidR="0057637E" w:rsidRPr="0057637E">
        <w:rPr>
          <w:lang w:eastAsia="hr-HR"/>
        </w:rPr>
        <w:t xml:space="preserve"> </w:t>
      </w:r>
      <w:r w:rsidR="0057637E">
        <w:t xml:space="preserve">samoupravi </w:t>
      </w:r>
      <w:r w:rsidR="0057637E" w:rsidRPr="0057637E">
        <w:t xml:space="preserve">(„Narodne novine“ broj 33/01, 60/01, 129/05, 109/07, 125/08, 36/09, 36/09, 150/11, 144/12, 19/13, 137/15, 123/17, 98/19 i 144/20), </w:t>
      </w:r>
      <w:r w:rsidR="0057637E">
        <w:t xml:space="preserve"> </w:t>
      </w:r>
      <w:r>
        <w:t>i</w:t>
      </w:r>
      <w:r w:rsidR="0057637E">
        <w:t xml:space="preserve"> </w:t>
      </w:r>
      <w:r w:rsidR="0057637E" w:rsidRPr="0057637E">
        <w:t xml:space="preserve">članka 19. Statuta Općine Lopar („Službene novine Primorsko-goranske županije“ broj 22/24) </w:t>
      </w:r>
      <w:r>
        <w:t>Općinsko vijeće Općine Lopar na sjednici održanoj dana</w:t>
      </w:r>
      <w:r>
        <w:tab/>
        <w:t>-- 202</w:t>
      </w:r>
      <w:r w:rsidR="0057637E">
        <w:t xml:space="preserve">5. </w:t>
      </w:r>
      <w:r>
        <w:t>godine, donijelo je</w:t>
      </w:r>
    </w:p>
    <w:p w14:paraId="5DA566B2" w14:textId="77777777" w:rsidR="008702BF" w:rsidRDefault="008702BF">
      <w:pPr>
        <w:pStyle w:val="Tijeloteksta"/>
        <w:spacing w:before="5"/>
      </w:pPr>
    </w:p>
    <w:p w14:paraId="2D61A537" w14:textId="77777777" w:rsidR="008702BF" w:rsidRDefault="001A4113">
      <w:pPr>
        <w:pStyle w:val="Naslov"/>
        <w:ind w:left="2446"/>
      </w:pPr>
      <w:r>
        <w:rPr>
          <w:spacing w:val="-4"/>
        </w:rPr>
        <w:t>PLAN</w:t>
      </w:r>
    </w:p>
    <w:p w14:paraId="160BEDB3" w14:textId="77777777" w:rsidR="008702BF" w:rsidRDefault="001A4113">
      <w:pPr>
        <w:pStyle w:val="Naslov"/>
      </w:pPr>
      <w:r>
        <w:t>davanja</w:t>
      </w:r>
      <w:r>
        <w:rPr>
          <w:spacing w:val="-8"/>
        </w:rPr>
        <w:t xml:space="preserve"> </w:t>
      </w:r>
      <w:r>
        <w:t>koncesija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području</w:t>
      </w:r>
      <w:r>
        <w:rPr>
          <w:spacing w:val="-9"/>
        </w:rPr>
        <w:t xml:space="preserve"> </w:t>
      </w:r>
      <w:r>
        <w:t>Općine Lopar za 202</w:t>
      </w:r>
      <w:r w:rsidR="0057637E">
        <w:t>6</w:t>
      </w:r>
      <w:r>
        <w:t>. godinu</w:t>
      </w:r>
    </w:p>
    <w:p w14:paraId="62AAA0C6" w14:textId="77777777" w:rsidR="008702BF" w:rsidRDefault="008702BF">
      <w:pPr>
        <w:pStyle w:val="Tijeloteksta"/>
        <w:rPr>
          <w:b/>
        </w:rPr>
      </w:pPr>
    </w:p>
    <w:p w14:paraId="46E6C756" w14:textId="77777777" w:rsidR="008702BF" w:rsidRDefault="008702BF">
      <w:pPr>
        <w:pStyle w:val="Tijeloteksta"/>
        <w:rPr>
          <w:b/>
        </w:rPr>
      </w:pPr>
    </w:p>
    <w:p w14:paraId="1E7A0E4D" w14:textId="77777777" w:rsidR="008702BF" w:rsidRDefault="008702BF">
      <w:pPr>
        <w:pStyle w:val="Tijeloteksta"/>
        <w:spacing w:before="7"/>
        <w:rPr>
          <w:b/>
        </w:rPr>
      </w:pPr>
    </w:p>
    <w:p w14:paraId="4B837491" w14:textId="77777777" w:rsidR="008702BF" w:rsidRDefault="001A4113">
      <w:pPr>
        <w:pStyle w:val="Tijeloteksta"/>
        <w:ind w:left="2446" w:right="2446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0D1BBB4A" w14:textId="77777777" w:rsidR="008702BF" w:rsidRDefault="008702BF">
      <w:pPr>
        <w:pStyle w:val="Tijeloteksta"/>
        <w:spacing w:before="5"/>
      </w:pPr>
    </w:p>
    <w:p w14:paraId="7BECCCD6" w14:textId="77777777" w:rsidR="008702BF" w:rsidRDefault="001A4113">
      <w:pPr>
        <w:pStyle w:val="Tijeloteksta"/>
        <w:ind w:left="141" w:right="141"/>
        <w:jc w:val="both"/>
      </w:pPr>
      <w:r>
        <w:t>Donosi se Godišnji plan davanja koncesija na području Općine Lopar za 202</w:t>
      </w:r>
      <w:r w:rsidR="0057637E">
        <w:t>6</w:t>
      </w:r>
      <w:r>
        <w:t>. godinu (u daljnjem tekstu: Plan).</w:t>
      </w:r>
    </w:p>
    <w:p w14:paraId="467B2E78" w14:textId="77777777" w:rsidR="008702BF" w:rsidRDefault="008702BF">
      <w:pPr>
        <w:pStyle w:val="Tijeloteksta"/>
        <w:spacing w:before="5"/>
      </w:pPr>
    </w:p>
    <w:p w14:paraId="7EB28DD4" w14:textId="77777777" w:rsidR="008702BF" w:rsidRDefault="001A4113">
      <w:pPr>
        <w:pStyle w:val="Tijeloteksta"/>
        <w:ind w:left="2446" w:right="2446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22F7EEDC" w14:textId="77777777" w:rsidR="008702BF" w:rsidRDefault="008702BF">
      <w:pPr>
        <w:pStyle w:val="Tijeloteksta"/>
        <w:spacing w:before="3"/>
      </w:pPr>
    </w:p>
    <w:p w14:paraId="1C9336AE" w14:textId="77777777" w:rsidR="008702BF" w:rsidRDefault="001A4113">
      <w:pPr>
        <w:pStyle w:val="Tijeloteksta"/>
        <w:ind w:left="141"/>
        <w:jc w:val="both"/>
      </w:pPr>
      <w:r>
        <w:t>Vrsta</w:t>
      </w:r>
      <w:r>
        <w:rPr>
          <w:spacing w:val="-3"/>
        </w:rPr>
        <w:t xml:space="preserve"> </w:t>
      </w:r>
      <w:r>
        <w:t>koncesije:</w:t>
      </w:r>
      <w:r>
        <w:rPr>
          <w:spacing w:val="-2"/>
        </w:rPr>
        <w:t xml:space="preserve"> </w:t>
      </w:r>
      <w:r>
        <w:t>DIMNJAČARSKI</w:t>
      </w:r>
      <w:r>
        <w:rPr>
          <w:spacing w:val="-6"/>
        </w:rPr>
        <w:t xml:space="preserve"> </w:t>
      </w:r>
      <w:r>
        <w:rPr>
          <w:spacing w:val="-2"/>
        </w:rPr>
        <w:t>POSLOVI</w:t>
      </w:r>
    </w:p>
    <w:p w14:paraId="56A572FF" w14:textId="77777777" w:rsidR="008702BF" w:rsidRDefault="008702BF">
      <w:pPr>
        <w:pStyle w:val="Tijeloteksta"/>
        <w:spacing w:before="4"/>
      </w:pPr>
    </w:p>
    <w:p w14:paraId="24398CE9" w14:textId="77777777" w:rsidR="008702BF" w:rsidRDefault="001A4113">
      <w:pPr>
        <w:pStyle w:val="Tijeloteksta"/>
        <w:spacing w:before="1" w:line="484" w:lineRule="auto"/>
        <w:ind w:left="141" w:right="3214"/>
        <w:jc w:val="both"/>
      </w:pPr>
      <w:r>
        <w:t>Planirani</w:t>
      </w:r>
      <w:r>
        <w:rPr>
          <w:spacing w:val="-5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koncesija:</w:t>
      </w:r>
      <w:r>
        <w:rPr>
          <w:spacing w:val="-4"/>
        </w:rPr>
        <w:t xml:space="preserve"> </w:t>
      </w:r>
      <w:r>
        <w:t>jedna</w:t>
      </w:r>
      <w:r>
        <w:rPr>
          <w:spacing w:val="-7"/>
        </w:rPr>
        <w:t xml:space="preserve"> </w:t>
      </w:r>
      <w:r>
        <w:t>koncesija</w:t>
      </w:r>
      <w:r>
        <w:rPr>
          <w:spacing w:val="-6"/>
        </w:rPr>
        <w:t xml:space="preserve"> </w:t>
      </w:r>
      <w:r>
        <w:t>tijekom</w:t>
      </w:r>
      <w:r>
        <w:rPr>
          <w:spacing w:val="-4"/>
        </w:rPr>
        <w:t xml:space="preserve"> </w:t>
      </w:r>
      <w:r>
        <w:t>202</w:t>
      </w:r>
      <w:r w:rsidR="0057637E">
        <w:t>6</w:t>
      </w:r>
      <w:r>
        <w:t>.</w:t>
      </w:r>
      <w:r>
        <w:rPr>
          <w:spacing w:val="-5"/>
        </w:rPr>
        <w:t xml:space="preserve"> </w:t>
      </w:r>
      <w:r>
        <w:t xml:space="preserve">godine Rok na koji se koncesija planira dati: </w:t>
      </w:r>
      <w:r w:rsidRPr="009A4780">
        <w:t>3 godine</w:t>
      </w:r>
    </w:p>
    <w:p w14:paraId="4EDF8C2D" w14:textId="77777777" w:rsidR="008702BF" w:rsidRDefault="001A4113">
      <w:pPr>
        <w:pStyle w:val="Tijeloteksta"/>
        <w:spacing w:line="272" w:lineRule="exact"/>
        <w:ind w:left="141"/>
        <w:jc w:val="both"/>
      </w:pPr>
      <w:r>
        <w:t>Početak</w:t>
      </w:r>
      <w:r>
        <w:rPr>
          <w:spacing w:val="-2"/>
        </w:rPr>
        <w:t xml:space="preserve"> </w:t>
      </w:r>
      <w:r>
        <w:t>koncesije:</w:t>
      </w:r>
      <w:r>
        <w:rPr>
          <w:spacing w:val="-2"/>
        </w:rPr>
        <w:t xml:space="preserve"> </w:t>
      </w:r>
      <w:r>
        <w:t>202</w:t>
      </w:r>
      <w:r w:rsidR="0057637E">
        <w:t>6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godina</w:t>
      </w:r>
    </w:p>
    <w:p w14:paraId="711189C3" w14:textId="77777777" w:rsidR="008702BF" w:rsidRDefault="008702BF">
      <w:pPr>
        <w:pStyle w:val="Tijeloteksta"/>
        <w:spacing w:before="4"/>
      </w:pPr>
    </w:p>
    <w:p w14:paraId="48DF01DD" w14:textId="70D1EE1A" w:rsidR="008702BF" w:rsidRDefault="001A4113">
      <w:pPr>
        <w:pStyle w:val="Tijeloteksta"/>
        <w:spacing w:before="1"/>
        <w:ind w:left="141"/>
        <w:jc w:val="both"/>
      </w:pPr>
      <w:r>
        <w:t>Procijenjena</w:t>
      </w:r>
      <w:r>
        <w:rPr>
          <w:spacing w:val="-5"/>
        </w:rPr>
        <w:t xml:space="preserve"> </w:t>
      </w:r>
      <w:r>
        <w:t>godišnja</w:t>
      </w:r>
      <w:r>
        <w:rPr>
          <w:spacing w:val="-2"/>
        </w:rPr>
        <w:t xml:space="preserve"> </w:t>
      </w:r>
      <w:r>
        <w:t>naknada:</w:t>
      </w:r>
      <w:r>
        <w:rPr>
          <w:spacing w:val="-1"/>
        </w:rPr>
        <w:t xml:space="preserve"> </w:t>
      </w:r>
      <w:r w:rsidR="009A4780">
        <w:t>2</w:t>
      </w:r>
      <w:r w:rsidR="007C0C3D" w:rsidRPr="009A4780">
        <w:t>50,00</w:t>
      </w:r>
      <w:r w:rsidRPr="009A4780">
        <w:rPr>
          <w:spacing w:val="-2"/>
        </w:rPr>
        <w:t xml:space="preserve"> </w:t>
      </w:r>
      <w:r w:rsidRPr="009A4780">
        <w:rPr>
          <w:spacing w:val="-5"/>
        </w:rPr>
        <w:t>EUR</w:t>
      </w:r>
    </w:p>
    <w:p w14:paraId="2E575739" w14:textId="77777777" w:rsidR="008702BF" w:rsidRDefault="008702BF">
      <w:pPr>
        <w:pStyle w:val="Tijeloteksta"/>
        <w:spacing w:before="5"/>
      </w:pPr>
    </w:p>
    <w:p w14:paraId="67B9FAAC" w14:textId="77777777" w:rsidR="008702BF" w:rsidRDefault="001A4113">
      <w:pPr>
        <w:pStyle w:val="Tijeloteksta"/>
        <w:ind w:left="141" w:right="143"/>
        <w:jc w:val="both"/>
      </w:pPr>
      <w:r>
        <w:t>Planirani rashodi od koncesije utvrđuju se u visini troškova pripreme i provedbe postupka za davanje koncesije.</w:t>
      </w:r>
    </w:p>
    <w:p w14:paraId="64D297EF" w14:textId="77777777" w:rsidR="008702BF" w:rsidRDefault="008702BF">
      <w:pPr>
        <w:pStyle w:val="Tijeloteksta"/>
        <w:spacing w:before="2"/>
      </w:pPr>
    </w:p>
    <w:p w14:paraId="7E1BAAE6" w14:textId="77777777" w:rsidR="008702BF" w:rsidRDefault="001A4113">
      <w:pPr>
        <w:pStyle w:val="Tijeloteksta"/>
        <w:ind w:left="141" w:right="142"/>
        <w:jc w:val="both"/>
      </w:pPr>
      <w:r>
        <w:t>Očekivana gospodarska korist od koncesije utvrđuje se u visini razlike ukupnih godišnjih naknada od koncesije i planiranih rashoda od koncesije.</w:t>
      </w:r>
    </w:p>
    <w:p w14:paraId="06783C29" w14:textId="77777777" w:rsidR="008702BF" w:rsidRDefault="008702BF">
      <w:pPr>
        <w:pStyle w:val="Tijeloteksta"/>
        <w:spacing w:before="5"/>
      </w:pPr>
    </w:p>
    <w:p w14:paraId="4DA89516" w14:textId="77777777" w:rsidR="008702BF" w:rsidRDefault="001A4113">
      <w:pPr>
        <w:pStyle w:val="Tijeloteksta"/>
        <w:ind w:left="141" w:right="138"/>
        <w:jc w:val="both"/>
      </w:pPr>
      <w:r>
        <w:t>Pravna osnova za davanje koncesije: Zakon o komunalnom gospodarstvu („Narodne novine“ broj: 68/18, 110/18, 32/20</w:t>
      </w:r>
      <w:r w:rsidR="0057637E">
        <w:t xml:space="preserve"> i 145/24</w:t>
      </w:r>
      <w:r>
        <w:t>), Zakon o koncesijama („Narodne novine“ broj: 69/17, 107/20), Odluka o obavljanju dimnjačarskih poslova („Službene novine Primorsko-goranske županije“ broj 42/09, 44/10).</w:t>
      </w:r>
    </w:p>
    <w:p w14:paraId="576C3C91" w14:textId="77777777" w:rsidR="008702BF" w:rsidRDefault="008702BF">
      <w:pPr>
        <w:pStyle w:val="Tijeloteksta"/>
        <w:spacing w:before="5"/>
      </w:pPr>
    </w:p>
    <w:p w14:paraId="6E5C5CC4" w14:textId="77777777" w:rsidR="008702BF" w:rsidRDefault="001A4113">
      <w:pPr>
        <w:pStyle w:val="Tijeloteksta"/>
        <w:ind w:left="2446" w:right="2446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685FC017" w14:textId="77777777" w:rsidR="008702BF" w:rsidRDefault="008702BF">
      <w:pPr>
        <w:pStyle w:val="Tijeloteksta"/>
        <w:spacing w:before="3"/>
      </w:pPr>
    </w:p>
    <w:p w14:paraId="3C5919FB" w14:textId="77777777" w:rsidR="008702BF" w:rsidRDefault="001A4113">
      <w:pPr>
        <w:pStyle w:val="Tijeloteksta"/>
        <w:ind w:left="141" w:right="140"/>
        <w:jc w:val="both"/>
      </w:pPr>
      <w:r>
        <w:t>Općinsko vijeće Općine Lopar tijekom kalendarske godine ovisno o okolnostima može promijeniti ovaj Plan davanja koncesije.</w:t>
      </w:r>
    </w:p>
    <w:p w14:paraId="4146940A" w14:textId="77777777" w:rsidR="008702BF" w:rsidRDefault="008702BF">
      <w:pPr>
        <w:pStyle w:val="Tijeloteksta"/>
        <w:spacing w:before="5"/>
      </w:pPr>
    </w:p>
    <w:p w14:paraId="4BAA2603" w14:textId="77777777" w:rsidR="008702BF" w:rsidRDefault="001A4113">
      <w:pPr>
        <w:pStyle w:val="Tijeloteksta"/>
        <w:ind w:left="2446" w:right="2446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59812DE2" w14:textId="77777777" w:rsidR="008702BF" w:rsidRDefault="008702BF">
      <w:pPr>
        <w:pStyle w:val="Tijeloteksta"/>
        <w:spacing w:before="2"/>
      </w:pPr>
    </w:p>
    <w:p w14:paraId="4BCA2D6A" w14:textId="77777777" w:rsidR="008702BF" w:rsidRDefault="001A4113">
      <w:pPr>
        <w:pStyle w:val="Tijeloteksta"/>
        <w:ind w:left="141"/>
        <w:jc w:val="both"/>
      </w:pPr>
      <w:r>
        <w:t>Plan</w:t>
      </w:r>
      <w:r>
        <w:rPr>
          <w:spacing w:val="-3"/>
        </w:rPr>
        <w:t xml:space="preserve"> </w:t>
      </w:r>
      <w:r>
        <w:t>davanja</w:t>
      </w:r>
      <w:r>
        <w:rPr>
          <w:spacing w:val="-1"/>
        </w:rPr>
        <w:t xml:space="preserve"> </w:t>
      </w:r>
      <w:r>
        <w:t>koncesije</w:t>
      </w:r>
      <w:r>
        <w:rPr>
          <w:spacing w:val="-2"/>
        </w:rPr>
        <w:t xml:space="preserve"> </w:t>
      </w:r>
      <w:r>
        <w:t>dostavlja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ministarstvu</w:t>
      </w:r>
      <w:r>
        <w:rPr>
          <w:spacing w:val="1"/>
        </w:rPr>
        <w:t xml:space="preserve"> </w:t>
      </w:r>
      <w:r>
        <w:t>nadležnom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financije.</w:t>
      </w:r>
    </w:p>
    <w:p w14:paraId="263D0E15" w14:textId="77777777" w:rsidR="008702BF" w:rsidRDefault="008702BF">
      <w:pPr>
        <w:pStyle w:val="Tijeloteksta"/>
        <w:jc w:val="both"/>
        <w:sectPr w:rsidR="008702BF">
          <w:type w:val="continuous"/>
          <w:pgSz w:w="11910" w:h="16840"/>
          <w:pgMar w:top="1320" w:right="1275" w:bottom="280" w:left="1275" w:header="720" w:footer="720" w:gutter="0"/>
          <w:cols w:space="720"/>
        </w:sectPr>
      </w:pPr>
    </w:p>
    <w:p w14:paraId="0F51F58D" w14:textId="77777777" w:rsidR="008702BF" w:rsidRDefault="001A4113">
      <w:pPr>
        <w:pStyle w:val="Tijeloteksta"/>
        <w:spacing w:before="76"/>
        <w:ind w:left="2446" w:right="2446"/>
        <w:jc w:val="center"/>
      </w:pPr>
      <w:r>
        <w:lastRenderedPageBreak/>
        <w:t>Članak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14:paraId="5645E55B" w14:textId="77777777" w:rsidR="008702BF" w:rsidRDefault="008702BF">
      <w:pPr>
        <w:pStyle w:val="Tijeloteksta"/>
        <w:spacing w:before="5"/>
      </w:pPr>
    </w:p>
    <w:p w14:paraId="527CCAAB" w14:textId="77777777" w:rsidR="008702BF" w:rsidRDefault="001A4113">
      <w:pPr>
        <w:pStyle w:val="Tijeloteksta"/>
        <w:spacing w:before="1"/>
        <w:ind w:left="141" w:right="135"/>
      </w:pPr>
      <w:r>
        <w:t>Ovaj</w:t>
      </w:r>
      <w:r>
        <w:rPr>
          <w:spacing w:val="29"/>
        </w:rPr>
        <w:t xml:space="preserve"> </w:t>
      </w:r>
      <w:r>
        <w:t>Plan</w:t>
      </w:r>
      <w:r>
        <w:rPr>
          <w:spacing w:val="28"/>
        </w:rPr>
        <w:t xml:space="preserve"> </w:t>
      </w:r>
      <w:r>
        <w:t>stupa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snagu</w:t>
      </w:r>
      <w:r>
        <w:rPr>
          <w:spacing w:val="28"/>
        </w:rPr>
        <w:t xml:space="preserve"> </w:t>
      </w:r>
      <w:r>
        <w:t>osmog</w:t>
      </w:r>
      <w:r>
        <w:rPr>
          <w:spacing w:val="28"/>
        </w:rPr>
        <w:t xml:space="preserve"> </w:t>
      </w:r>
      <w:r>
        <w:t>dana</w:t>
      </w:r>
      <w:r>
        <w:rPr>
          <w:spacing w:val="28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dana</w:t>
      </w:r>
      <w:r>
        <w:rPr>
          <w:spacing w:val="28"/>
        </w:rPr>
        <w:t xml:space="preserve"> </w:t>
      </w:r>
      <w:r>
        <w:t>objave</w:t>
      </w:r>
      <w:r>
        <w:rPr>
          <w:spacing w:val="27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„Službenim</w:t>
      </w:r>
      <w:r>
        <w:rPr>
          <w:spacing w:val="29"/>
        </w:rPr>
        <w:t xml:space="preserve"> </w:t>
      </w:r>
      <w:r>
        <w:t>novinama</w:t>
      </w:r>
      <w:r>
        <w:rPr>
          <w:spacing w:val="28"/>
        </w:rPr>
        <w:t xml:space="preserve"> </w:t>
      </w:r>
      <w:r>
        <w:t>Primorsko- goranske županije.</w:t>
      </w:r>
    </w:p>
    <w:p w14:paraId="1877F091" w14:textId="77777777" w:rsidR="008702BF" w:rsidRDefault="008702BF">
      <w:pPr>
        <w:pStyle w:val="Tijeloteksta"/>
      </w:pPr>
    </w:p>
    <w:p w14:paraId="4C54BA79" w14:textId="77777777" w:rsidR="008702BF" w:rsidRDefault="008702BF">
      <w:pPr>
        <w:pStyle w:val="Tijeloteksta"/>
      </w:pPr>
    </w:p>
    <w:p w14:paraId="69829EF4" w14:textId="77777777" w:rsidR="008702BF" w:rsidRDefault="008702BF">
      <w:pPr>
        <w:pStyle w:val="Tijeloteksta"/>
        <w:spacing w:before="7"/>
      </w:pPr>
    </w:p>
    <w:p w14:paraId="5318DF2A" w14:textId="77777777" w:rsidR="008702BF" w:rsidRDefault="001A4113">
      <w:pPr>
        <w:pStyle w:val="Tijeloteksta"/>
        <w:ind w:left="141"/>
      </w:pPr>
      <w:r>
        <w:rPr>
          <w:spacing w:val="-2"/>
        </w:rPr>
        <w:t>KLASA:</w:t>
      </w:r>
    </w:p>
    <w:p w14:paraId="7C363701" w14:textId="77777777" w:rsidR="008702BF" w:rsidRDefault="001A4113" w:rsidP="00D755AA">
      <w:pPr>
        <w:pStyle w:val="Tijeloteksta"/>
        <w:ind w:left="141"/>
      </w:pPr>
      <w:r>
        <w:rPr>
          <w:spacing w:val="-2"/>
        </w:rPr>
        <w:t>URBROJ:</w:t>
      </w:r>
    </w:p>
    <w:p w14:paraId="46E91F05" w14:textId="77777777" w:rsidR="008702BF" w:rsidRDefault="001A4113">
      <w:pPr>
        <w:pStyle w:val="Tijeloteksta"/>
        <w:ind w:left="141"/>
      </w:pPr>
      <w:r>
        <w:rPr>
          <w:spacing w:val="-2"/>
        </w:rPr>
        <w:t>Lopar,</w:t>
      </w:r>
    </w:p>
    <w:p w14:paraId="7857CDD1" w14:textId="77777777" w:rsidR="008702BF" w:rsidRDefault="008702BF">
      <w:pPr>
        <w:pStyle w:val="Tijeloteksta"/>
        <w:spacing w:before="5"/>
      </w:pPr>
    </w:p>
    <w:p w14:paraId="5B7FC44F" w14:textId="77777777" w:rsidR="008702BF" w:rsidRDefault="001A4113" w:rsidP="00D755AA">
      <w:pPr>
        <w:pStyle w:val="Tijeloteksta"/>
        <w:spacing w:line="276" w:lineRule="auto"/>
        <w:ind w:left="3142"/>
      </w:pPr>
      <w:r>
        <w:t>OPĆINSKO</w:t>
      </w:r>
      <w:r>
        <w:rPr>
          <w:spacing w:val="-7"/>
        </w:rPr>
        <w:t xml:space="preserve"> </w:t>
      </w:r>
      <w:r>
        <w:t>VIJEĆE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rPr>
          <w:spacing w:val="-2"/>
        </w:rPr>
        <w:t>LOPAR</w:t>
      </w:r>
    </w:p>
    <w:p w14:paraId="4F9AEE6E" w14:textId="77777777" w:rsidR="008702BF" w:rsidRDefault="001A4113" w:rsidP="00D755AA">
      <w:pPr>
        <w:pStyle w:val="Tijeloteksta"/>
        <w:spacing w:line="276" w:lineRule="auto"/>
        <w:ind w:left="3691" w:right="3544" w:firstLine="420"/>
      </w:pPr>
      <w:r>
        <w:rPr>
          <w:spacing w:val="-2"/>
        </w:rPr>
        <w:t xml:space="preserve">Predsjednik </w:t>
      </w:r>
      <w:r>
        <w:t>Damir</w:t>
      </w:r>
      <w:r>
        <w:rPr>
          <w:spacing w:val="-15"/>
        </w:rPr>
        <w:t xml:space="preserve"> </w:t>
      </w:r>
      <w:proofErr w:type="spellStart"/>
      <w:r>
        <w:t>Paparić</w:t>
      </w:r>
      <w:proofErr w:type="spellEnd"/>
      <w:r>
        <w:t>,</w:t>
      </w:r>
      <w:r>
        <w:rPr>
          <w:spacing w:val="-15"/>
        </w:rPr>
        <w:t xml:space="preserve"> </w:t>
      </w:r>
      <w:r>
        <w:t>prof.</w:t>
      </w:r>
    </w:p>
    <w:sectPr w:rsidR="008702BF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2BF"/>
    <w:rsid w:val="000767D1"/>
    <w:rsid w:val="001104BD"/>
    <w:rsid w:val="001A4113"/>
    <w:rsid w:val="0057637E"/>
    <w:rsid w:val="007C0C3D"/>
    <w:rsid w:val="008702BF"/>
    <w:rsid w:val="009A4780"/>
    <w:rsid w:val="00D7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7612"/>
  <w15:docId w15:val="{E4217490-1068-4D3A-A35E-D32A55D7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2386" w:right="2446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Manuela</cp:lastModifiedBy>
  <cp:revision>2</cp:revision>
  <dcterms:created xsi:type="dcterms:W3CDTF">2025-12-19T09:24:00Z</dcterms:created>
  <dcterms:modified xsi:type="dcterms:W3CDTF">2025-12-19T09:24:00Z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Foxit Reader Printer Version 9.3.0.1233</vt:lpwstr>
  </property>
</Properties>
</file>