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Cs/>
                <w:color w:val="EE0000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mbria" w:hAnsi="Cambria" w:eastAsia="Times New Roman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22-05/25-01/52</w:t>
            </w:r>
            <w:bookmarkStart w:id="0" w:name="_GoBack"/>
            <w:bookmarkEnd w:id="0"/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  <w:t>238-09-03-25-12</w:t>
            </w:r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Program utroška sredstava naknade za zadržavanje nezakonito izgrađenih zgrada u prostoru za 2026. godinu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Programom utroška sredstava  naknade za zadržavanje nezakonito izgrađenih zgrada u prostoru za 2026. godinu utvrđuje se namjena korištenja naknade za poboljšanje infrastrukture Općine Gradec.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"https://gradec.hr/"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https://gradec.hr/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01.12.2025 - 15.12.2025.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Kako bi se dokument usvojio na nadolazećoj sjednici Vijeća, savjetovanje mora trajati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savjetovanja.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6AAE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92E85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00FE554E"/>
    <w:rsid w:val="4EB6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character" w:styleId="9">
    <w:name w:val="FollowedHyperlink"/>
    <w:semiHidden/>
    <w:unhideWhenUsed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Tijelo teksta Char"/>
    <w:link w:val="5"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uiPriority w:val="99"/>
    <w:rPr>
      <w:lang w:eastAsia="en-US"/>
    </w:rPr>
  </w:style>
  <w:style w:type="character" w:customStyle="1" w:styleId="15">
    <w:name w:val="Predmet komentara Char"/>
    <w:link w:val="8"/>
    <w:semiHidden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241</Words>
  <Characters>1377</Characters>
  <Lines>11</Lines>
  <Paragraphs>3</Paragraphs>
  <TotalTime>69</TotalTime>
  <ScaleCrop>false</ScaleCrop>
  <LinksUpToDate>false</LinksUpToDate>
  <CharactersWithSpaces>1615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2025-12-16T06:58:58Z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E285B9BD6D5146E1A81F6A37C34D0450_12</vt:lpwstr>
  </property>
</Properties>
</file>