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1AD1" w14:textId="658E7FA3" w:rsidR="003E126B" w:rsidRPr="004C16C1" w:rsidRDefault="003E126B" w:rsidP="001C5D51">
      <w:pPr>
        <w:rPr>
          <w:rFonts w:ascii="Times New Roman" w:hAnsi="Times New Roman" w:cs="Times New Roman"/>
          <w:sz w:val="24"/>
          <w:szCs w:val="24"/>
        </w:rPr>
      </w:pPr>
      <w:r w:rsidRPr="008C0A23">
        <w:rPr>
          <w:rFonts w:ascii="Times New Roman" w:hAnsi="Times New Roman" w:cs="Times New Roman"/>
          <w:sz w:val="24"/>
          <w:szCs w:val="24"/>
        </w:rPr>
        <w:t xml:space="preserve">Na temelju članka 12. stavka </w:t>
      </w:r>
      <w:r w:rsidR="0028445C" w:rsidRPr="008C0A23">
        <w:rPr>
          <w:rFonts w:ascii="Times New Roman" w:hAnsi="Times New Roman" w:cs="Times New Roman"/>
          <w:sz w:val="24"/>
          <w:szCs w:val="24"/>
        </w:rPr>
        <w:t>3</w:t>
      </w:r>
      <w:r w:rsidRPr="008C0A23">
        <w:rPr>
          <w:rFonts w:ascii="Times New Roman" w:hAnsi="Times New Roman" w:cs="Times New Roman"/>
          <w:sz w:val="24"/>
          <w:szCs w:val="24"/>
        </w:rPr>
        <w:t>. Zakona o zaštiti od svjetlosnog onečišćenja („Narodne novine“ broj 14</w:t>
      </w:r>
      <w:r w:rsidRPr="001C5D51">
        <w:rPr>
          <w:rFonts w:ascii="Times New Roman" w:hAnsi="Times New Roman" w:cs="Times New Roman"/>
          <w:sz w:val="24"/>
          <w:szCs w:val="24"/>
        </w:rPr>
        <w:t xml:space="preserve">/19), članka </w:t>
      </w:r>
      <w:r w:rsidR="00647BDC" w:rsidRPr="001C5D51">
        <w:rPr>
          <w:rFonts w:ascii="Times New Roman" w:hAnsi="Times New Roman" w:cs="Times New Roman"/>
          <w:sz w:val="24"/>
          <w:szCs w:val="24"/>
        </w:rPr>
        <w:t>xx</w:t>
      </w:r>
      <w:r w:rsidRPr="001C5D51">
        <w:rPr>
          <w:rFonts w:ascii="Times New Roman" w:hAnsi="Times New Roman" w:cs="Times New Roman"/>
          <w:sz w:val="24"/>
          <w:szCs w:val="24"/>
        </w:rPr>
        <w:t xml:space="preserve">. stavka </w:t>
      </w:r>
      <w:r w:rsidR="00647BDC" w:rsidRPr="001C5D51">
        <w:rPr>
          <w:rFonts w:ascii="Times New Roman" w:hAnsi="Times New Roman" w:cs="Times New Roman"/>
          <w:sz w:val="24"/>
          <w:szCs w:val="24"/>
        </w:rPr>
        <w:t>xx</w:t>
      </w:r>
      <w:r w:rsidRPr="001C5D51">
        <w:rPr>
          <w:rFonts w:ascii="Times New Roman" w:hAnsi="Times New Roman" w:cs="Times New Roman"/>
          <w:sz w:val="24"/>
          <w:szCs w:val="24"/>
        </w:rPr>
        <w:t xml:space="preserve">. Statuta </w:t>
      </w:r>
      <w:r w:rsidR="007E425C" w:rsidRPr="001C5D51">
        <w:rPr>
          <w:rFonts w:ascii="Times New Roman" w:hAnsi="Times New Roman" w:cs="Times New Roman"/>
          <w:sz w:val="24"/>
          <w:szCs w:val="24"/>
        </w:rPr>
        <w:t xml:space="preserve">Grada </w:t>
      </w:r>
      <w:r w:rsidR="008C0A23" w:rsidRPr="001C5D51">
        <w:rPr>
          <w:rFonts w:ascii="Times New Roman" w:hAnsi="Times New Roman" w:cs="Times New Roman"/>
          <w:sz w:val="24"/>
          <w:szCs w:val="24"/>
        </w:rPr>
        <w:t>Ludbreg</w:t>
      </w:r>
      <w:r w:rsidR="0080072E" w:rsidRPr="001C5D51">
        <w:rPr>
          <w:rFonts w:ascii="Times New Roman" w:hAnsi="Times New Roman" w:cs="Times New Roman"/>
          <w:sz w:val="24"/>
          <w:szCs w:val="24"/>
        </w:rPr>
        <w:t>a</w:t>
      </w:r>
      <w:r w:rsidR="00462E4B" w:rsidRPr="001C5D51">
        <w:rPr>
          <w:rFonts w:ascii="Times New Roman" w:hAnsi="Times New Roman" w:cs="Times New Roman"/>
          <w:sz w:val="24"/>
          <w:szCs w:val="24"/>
        </w:rPr>
        <w:t xml:space="preserve"> </w:t>
      </w:r>
      <w:r w:rsidRPr="001C5D51">
        <w:rPr>
          <w:rFonts w:ascii="Times New Roman" w:hAnsi="Times New Roman" w:cs="Times New Roman"/>
          <w:sz w:val="24"/>
          <w:szCs w:val="24"/>
        </w:rPr>
        <w:t>(</w:t>
      </w:r>
      <w:r w:rsidR="001C0F34" w:rsidRPr="001C5D51">
        <w:rPr>
          <w:rFonts w:ascii="Times New Roman" w:hAnsi="Times New Roman" w:cs="Times New Roman"/>
          <w:sz w:val="24"/>
          <w:szCs w:val="24"/>
        </w:rPr>
        <w:t>"Služben</w:t>
      </w:r>
      <w:r w:rsidR="002F69E6" w:rsidRPr="001C5D51">
        <w:rPr>
          <w:rFonts w:ascii="Times New Roman" w:hAnsi="Times New Roman" w:cs="Times New Roman"/>
          <w:sz w:val="24"/>
          <w:szCs w:val="24"/>
        </w:rPr>
        <w:t>i</w:t>
      </w:r>
      <w:r w:rsidR="001C0F34" w:rsidRPr="001C5D51">
        <w:rPr>
          <w:rFonts w:ascii="Times New Roman" w:hAnsi="Times New Roman" w:cs="Times New Roman"/>
          <w:sz w:val="24"/>
          <w:szCs w:val="24"/>
        </w:rPr>
        <w:t xml:space="preserve"> </w:t>
      </w:r>
      <w:r w:rsidR="00451833" w:rsidRPr="001C5D51">
        <w:rPr>
          <w:rFonts w:ascii="Times New Roman" w:hAnsi="Times New Roman" w:cs="Times New Roman"/>
          <w:sz w:val="24"/>
          <w:szCs w:val="24"/>
        </w:rPr>
        <w:t>vjesnik</w:t>
      </w:r>
      <w:r w:rsidR="00B800D3" w:rsidRPr="001C5D51">
        <w:rPr>
          <w:rFonts w:ascii="Times New Roman" w:hAnsi="Times New Roman" w:cs="Times New Roman"/>
          <w:sz w:val="24"/>
          <w:szCs w:val="24"/>
        </w:rPr>
        <w:t xml:space="preserve"> </w:t>
      </w:r>
      <w:r w:rsidR="008C5D8E" w:rsidRPr="001C5D51">
        <w:rPr>
          <w:rFonts w:ascii="Times New Roman" w:hAnsi="Times New Roman" w:cs="Times New Roman"/>
          <w:sz w:val="24"/>
          <w:szCs w:val="24"/>
        </w:rPr>
        <w:t>Varaždinske županije</w:t>
      </w:r>
      <w:r w:rsidR="008958AE" w:rsidRPr="001C5D51">
        <w:rPr>
          <w:rFonts w:ascii="Times New Roman" w:hAnsi="Times New Roman" w:cs="Times New Roman"/>
          <w:sz w:val="24"/>
          <w:szCs w:val="24"/>
        </w:rPr>
        <w:t xml:space="preserve">“ </w:t>
      </w:r>
      <w:r w:rsidR="001C0F34" w:rsidRPr="001C5D51">
        <w:rPr>
          <w:rFonts w:ascii="Times New Roman" w:hAnsi="Times New Roman" w:cs="Times New Roman"/>
          <w:sz w:val="24"/>
          <w:szCs w:val="24"/>
        </w:rPr>
        <w:t xml:space="preserve">br. </w:t>
      </w:r>
      <w:r w:rsidR="001C5D51">
        <w:rPr>
          <w:rFonts w:ascii="Times New Roman" w:hAnsi="Times New Roman" w:cs="Times New Roman"/>
          <w:sz w:val="24"/>
          <w:szCs w:val="24"/>
        </w:rPr>
        <w:t>12/2021</w:t>
      </w:r>
      <w:r w:rsidRPr="001C5D51">
        <w:rPr>
          <w:rFonts w:ascii="Times New Roman" w:hAnsi="Times New Roman" w:cs="Times New Roman"/>
          <w:sz w:val="24"/>
          <w:szCs w:val="24"/>
        </w:rPr>
        <w:t>)</w:t>
      </w:r>
      <w:r w:rsidR="009E2B30" w:rsidRPr="001C5D51">
        <w:rPr>
          <w:rFonts w:ascii="Times New Roman" w:hAnsi="Times New Roman" w:cs="Times New Roman"/>
          <w:sz w:val="24"/>
          <w:szCs w:val="24"/>
        </w:rPr>
        <w:t>,</w:t>
      </w:r>
      <w:r w:rsidRPr="001C5D51">
        <w:rPr>
          <w:rFonts w:ascii="Times New Roman" w:hAnsi="Times New Roman" w:cs="Times New Roman"/>
          <w:sz w:val="24"/>
          <w:szCs w:val="24"/>
        </w:rPr>
        <w:t xml:space="preserve"> </w:t>
      </w:r>
      <w:r w:rsidR="00615170" w:rsidRPr="001C5D51">
        <w:rPr>
          <w:rFonts w:ascii="Times New Roman" w:hAnsi="Times New Roman" w:cs="Times New Roman"/>
          <w:sz w:val="24"/>
          <w:szCs w:val="24"/>
        </w:rPr>
        <w:t>Gradsko</w:t>
      </w:r>
      <w:r w:rsidRPr="001C5D51">
        <w:rPr>
          <w:rFonts w:ascii="Times New Roman" w:hAnsi="Times New Roman" w:cs="Times New Roman"/>
          <w:sz w:val="24"/>
          <w:szCs w:val="24"/>
        </w:rPr>
        <w:t xml:space="preserve"> vijeće </w:t>
      </w:r>
      <w:r w:rsidR="00615170" w:rsidRPr="001C5D51">
        <w:rPr>
          <w:rFonts w:ascii="Times New Roman" w:hAnsi="Times New Roman" w:cs="Times New Roman"/>
          <w:sz w:val="24"/>
          <w:szCs w:val="24"/>
        </w:rPr>
        <w:t>Grada</w:t>
      </w:r>
      <w:r w:rsidR="009E2B30" w:rsidRPr="001C5D51">
        <w:rPr>
          <w:rFonts w:ascii="Times New Roman" w:hAnsi="Times New Roman" w:cs="Times New Roman"/>
          <w:sz w:val="24"/>
          <w:szCs w:val="24"/>
        </w:rPr>
        <w:t xml:space="preserve"> </w:t>
      </w:r>
      <w:r w:rsidR="008C0A23" w:rsidRPr="001C5D51">
        <w:rPr>
          <w:rFonts w:ascii="Times New Roman" w:hAnsi="Times New Roman" w:cs="Times New Roman"/>
          <w:sz w:val="24"/>
          <w:szCs w:val="24"/>
        </w:rPr>
        <w:t>Ludbreg</w:t>
      </w:r>
      <w:r w:rsidR="0080072E" w:rsidRPr="001C5D51">
        <w:rPr>
          <w:rFonts w:ascii="Times New Roman" w:hAnsi="Times New Roman" w:cs="Times New Roman"/>
          <w:sz w:val="24"/>
          <w:szCs w:val="24"/>
        </w:rPr>
        <w:t>a</w:t>
      </w:r>
      <w:r w:rsidRPr="001C5D51">
        <w:rPr>
          <w:rFonts w:ascii="Times New Roman" w:hAnsi="Times New Roman" w:cs="Times New Roman"/>
          <w:sz w:val="24"/>
          <w:szCs w:val="24"/>
        </w:rPr>
        <w:t>, na ___. sjednici održanoj __________ 202</w:t>
      </w:r>
      <w:r w:rsidR="00F67975" w:rsidRPr="001C5D51">
        <w:rPr>
          <w:rFonts w:ascii="Times New Roman" w:hAnsi="Times New Roman" w:cs="Times New Roman"/>
          <w:sz w:val="24"/>
          <w:szCs w:val="24"/>
        </w:rPr>
        <w:t>5</w:t>
      </w:r>
      <w:r w:rsidRPr="001C5D51">
        <w:rPr>
          <w:rFonts w:ascii="Times New Roman" w:hAnsi="Times New Roman" w:cs="Times New Roman"/>
          <w:sz w:val="24"/>
          <w:szCs w:val="24"/>
        </w:rPr>
        <w:t>. godine</w:t>
      </w:r>
      <w:r w:rsidRPr="004C16C1">
        <w:rPr>
          <w:rFonts w:ascii="Times New Roman" w:hAnsi="Times New Roman" w:cs="Times New Roman"/>
          <w:sz w:val="24"/>
          <w:szCs w:val="24"/>
        </w:rPr>
        <w:t xml:space="preserve"> donijelo je</w:t>
      </w:r>
    </w:p>
    <w:p w14:paraId="64AB7A19" w14:textId="77777777" w:rsidR="003E126B" w:rsidRPr="001C5D51" w:rsidRDefault="003E126B" w:rsidP="003E126B">
      <w:pPr>
        <w:jc w:val="center"/>
        <w:rPr>
          <w:rFonts w:ascii="Times New Roman" w:hAnsi="Times New Roman" w:cs="Times New Roman"/>
          <w:b/>
          <w:bCs/>
          <w:spacing w:val="30"/>
          <w:sz w:val="32"/>
          <w:szCs w:val="32"/>
        </w:rPr>
      </w:pPr>
      <w:r w:rsidRPr="001C5D51">
        <w:rPr>
          <w:rFonts w:ascii="Times New Roman" w:hAnsi="Times New Roman" w:cs="Times New Roman"/>
          <w:b/>
          <w:bCs/>
          <w:spacing w:val="30"/>
          <w:sz w:val="32"/>
          <w:szCs w:val="32"/>
        </w:rPr>
        <w:t>ODLUKU</w:t>
      </w:r>
    </w:p>
    <w:p w14:paraId="125C3BD0" w14:textId="3C4BB120" w:rsidR="003E126B" w:rsidRPr="001C5D51" w:rsidRDefault="003E126B" w:rsidP="001567FB">
      <w:pPr>
        <w:jc w:val="center"/>
        <w:rPr>
          <w:rFonts w:ascii="Times New Roman" w:hAnsi="Times New Roman" w:cs="Times New Roman"/>
          <w:b/>
          <w:bCs/>
          <w:sz w:val="28"/>
          <w:szCs w:val="28"/>
        </w:rPr>
      </w:pPr>
      <w:r w:rsidRPr="001C5D51">
        <w:rPr>
          <w:rFonts w:ascii="Times New Roman" w:hAnsi="Times New Roman" w:cs="Times New Roman"/>
          <w:b/>
          <w:bCs/>
          <w:sz w:val="28"/>
          <w:szCs w:val="28"/>
        </w:rPr>
        <w:t xml:space="preserve">o donošenju Plana rasvjete </w:t>
      </w:r>
      <w:r w:rsidR="00C35486" w:rsidRPr="001C5D51">
        <w:rPr>
          <w:rFonts w:ascii="Times New Roman" w:hAnsi="Times New Roman" w:cs="Times New Roman"/>
          <w:b/>
          <w:bCs/>
          <w:sz w:val="28"/>
          <w:szCs w:val="28"/>
        </w:rPr>
        <w:t xml:space="preserve">Grada </w:t>
      </w:r>
      <w:r w:rsidR="008C0A23" w:rsidRPr="001C5D51">
        <w:rPr>
          <w:rFonts w:ascii="Times New Roman" w:hAnsi="Times New Roman" w:cs="Times New Roman"/>
          <w:b/>
          <w:bCs/>
          <w:sz w:val="28"/>
          <w:szCs w:val="28"/>
        </w:rPr>
        <w:t>Ludbreg</w:t>
      </w:r>
      <w:r w:rsidR="0080072E" w:rsidRPr="001C5D51">
        <w:rPr>
          <w:rFonts w:ascii="Times New Roman" w:hAnsi="Times New Roman" w:cs="Times New Roman"/>
          <w:b/>
          <w:bCs/>
          <w:sz w:val="28"/>
          <w:szCs w:val="28"/>
        </w:rPr>
        <w:t>a</w:t>
      </w:r>
    </w:p>
    <w:p w14:paraId="776F4FE9" w14:textId="0409CED2" w:rsidR="003E126B" w:rsidRPr="004C16C1" w:rsidRDefault="001567FB" w:rsidP="003E126B">
      <w:pPr>
        <w:jc w:val="center"/>
        <w:rPr>
          <w:rFonts w:ascii="Times New Roman" w:hAnsi="Times New Roman" w:cs="Times New Roman"/>
          <w:b/>
          <w:bCs/>
          <w:sz w:val="24"/>
          <w:szCs w:val="24"/>
        </w:rPr>
      </w:pPr>
      <w:r w:rsidRPr="004C16C1">
        <w:rPr>
          <w:rFonts w:ascii="Times New Roman" w:hAnsi="Times New Roman" w:cs="Times New Roman"/>
          <w:b/>
          <w:bCs/>
          <w:sz w:val="24"/>
          <w:szCs w:val="24"/>
        </w:rPr>
        <w:t>I.</w:t>
      </w:r>
    </w:p>
    <w:p w14:paraId="04598413" w14:textId="47405572" w:rsidR="003E126B" w:rsidRPr="000261FA" w:rsidRDefault="003E126B" w:rsidP="001C5D51">
      <w:pPr>
        <w:rPr>
          <w:rFonts w:ascii="Times New Roman" w:hAnsi="Times New Roman" w:cs="Times New Roman"/>
          <w:sz w:val="24"/>
          <w:szCs w:val="24"/>
          <w:highlight w:val="yellow"/>
        </w:rPr>
      </w:pPr>
      <w:r w:rsidRPr="00801A68">
        <w:rPr>
          <w:rFonts w:ascii="Times New Roman" w:hAnsi="Times New Roman" w:cs="Times New Roman"/>
          <w:sz w:val="24"/>
          <w:szCs w:val="24"/>
        </w:rPr>
        <w:t xml:space="preserve">Donosi se Plan rasvjete </w:t>
      </w:r>
      <w:r w:rsidR="00C35486" w:rsidRPr="00801A68">
        <w:rPr>
          <w:rFonts w:ascii="Times New Roman" w:hAnsi="Times New Roman" w:cs="Times New Roman"/>
          <w:sz w:val="24"/>
          <w:szCs w:val="24"/>
        </w:rPr>
        <w:t xml:space="preserve">Grada </w:t>
      </w:r>
      <w:r w:rsidR="008C0A23" w:rsidRPr="00801A68">
        <w:rPr>
          <w:rFonts w:ascii="Times New Roman" w:hAnsi="Times New Roman" w:cs="Times New Roman"/>
          <w:sz w:val="24"/>
          <w:szCs w:val="24"/>
        </w:rPr>
        <w:t>Ludbreg</w:t>
      </w:r>
      <w:r w:rsidR="008E1512" w:rsidRPr="00801A68">
        <w:rPr>
          <w:rFonts w:ascii="Times New Roman" w:hAnsi="Times New Roman" w:cs="Times New Roman"/>
          <w:sz w:val="24"/>
          <w:szCs w:val="24"/>
        </w:rPr>
        <w:t>a</w:t>
      </w:r>
      <w:r w:rsidR="00C35486" w:rsidRPr="00801A68">
        <w:rPr>
          <w:rFonts w:ascii="Times New Roman" w:hAnsi="Times New Roman" w:cs="Times New Roman"/>
          <w:sz w:val="24"/>
          <w:szCs w:val="24"/>
        </w:rPr>
        <w:t xml:space="preserve"> </w:t>
      </w:r>
      <w:r w:rsidRPr="00801A68">
        <w:rPr>
          <w:rFonts w:ascii="Times New Roman" w:hAnsi="Times New Roman" w:cs="Times New Roman"/>
          <w:sz w:val="24"/>
          <w:szCs w:val="24"/>
        </w:rPr>
        <w:t xml:space="preserve">(u daljnjem tekstu: Plan) koji je izradila Regionalna energetska agencija Sjever iz Koprivnice u koordinaciji s nositeljem izrade </w:t>
      </w:r>
      <w:r w:rsidR="00171E44" w:rsidRPr="00801A68">
        <w:rPr>
          <w:rFonts w:ascii="Times New Roman" w:hAnsi="Times New Roman" w:cs="Times New Roman"/>
          <w:sz w:val="24"/>
          <w:szCs w:val="24"/>
        </w:rPr>
        <w:t xml:space="preserve">Grad </w:t>
      </w:r>
      <w:r w:rsidR="008C0A23" w:rsidRPr="00801A68">
        <w:rPr>
          <w:rFonts w:ascii="Times New Roman" w:hAnsi="Times New Roman" w:cs="Times New Roman"/>
          <w:sz w:val="24"/>
          <w:szCs w:val="24"/>
        </w:rPr>
        <w:t>Ludbreg</w:t>
      </w:r>
      <w:r w:rsidR="00963A3C" w:rsidRPr="00801A68">
        <w:rPr>
          <w:rFonts w:ascii="Times New Roman" w:hAnsi="Times New Roman" w:cs="Times New Roman"/>
          <w:sz w:val="24"/>
          <w:szCs w:val="24"/>
        </w:rPr>
        <w:t xml:space="preserve"> </w:t>
      </w:r>
      <w:r w:rsidR="005C17DF" w:rsidRPr="00801A68">
        <w:rPr>
          <w:rFonts w:ascii="Times New Roman" w:hAnsi="Times New Roman" w:cs="Times New Roman"/>
          <w:sz w:val="24"/>
          <w:szCs w:val="24"/>
        </w:rPr>
        <w:t>–</w:t>
      </w:r>
      <w:r w:rsidR="00963A3C" w:rsidRPr="00801A68">
        <w:rPr>
          <w:rFonts w:ascii="Times New Roman" w:hAnsi="Times New Roman" w:cs="Times New Roman"/>
          <w:sz w:val="24"/>
          <w:szCs w:val="24"/>
        </w:rPr>
        <w:t xml:space="preserve"> </w:t>
      </w:r>
      <w:r w:rsidR="00D33653" w:rsidRPr="00D33653">
        <w:rPr>
          <w:rFonts w:ascii="Times New Roman" w:hAnsi="Times New Roman" w:cs="Times New Roman"/>
          <w:sz w:val="24"/>
          <w:szCs w:val="24"/>
        </w:rPr>
        <w:t>Odsjek za komunalni sustav, urbanizam, imovinu i javnu nabavu</w:t>
      </w:r>
      <w:r w:rsidR="00D33653">
        <w:rPr>
          <w:rFonts w:ascii="Times New Roman" w:hAnsi="Times New Roman" w:cs="Times New Roman"/>
          <w:sz w:val="24"/>
          <w:szCs w:val="24"/>
        </w:rPr>
        <w:t>.</w:t>
      </w:r>
    </w:p>
    <w:p w14:paraId="792C8C10" w14:textId="52231778" w:rsidR="003E126B" w:rsidRPr="00D33653" w:rsidRDefault="001567FB" w:rsidP="003E126B">
      <w:pPr>
        <w:jc w:val="center"/>
        <w:rPr>
          <w:rFonts w:ascii="Times New Roman" w:hAnsi="Times New Roman" w:cs="Times New Roman"/>
          <w:b/>
          <w:bCs/>
          <w:sz w:val="24"/>
          <w:szCs w:val="24"/>
        </w:rPr>
      </w:pPr>
      <w:r w:rsidRPr="00D33653">
        <w:rPr>
          <w:rFonts w:ascii="Times New Roman" w:hAnsi="Times New Roman" w:cs="Times New Roman"/>
          <w:b/>
          <w:bCs/>
          <w:sz w:val="24"/>
          <w:szCs w:val="24"/>
        </w:rPr>
        <w:t>II.</w:t>
      </w:r>
    </w:p>
    <w:p w14:paraId="3D0646BC" w14:textId="30B21415" w:rsidR="003E126B" w:rsidRPr="00D33653" w:rsidRDefault="003E126B" w:rsidP="003E126B">
      <w:pPr>
        <w:jc w:val="left"/>
        <w:rPr>
          <w:rFonts w:ascii="Times New Roman" w:hAnsi="Times New Roman" w:cs="Times New Roman"/>
          <w:sz w:val="24"/>
          <w:szCs w:val="24"/>
        </w:rPr>
      </w:pPr>
      <w:r w:rsidRPr="00D33653">
        <w:rPr>
          <w:rFonts w:ascii="Times New Roman" w:hAnsi="Times New Roman" w:cs="Times New Roman"/>
          <w:sz w:val="24"/>
          <w:szCs w:val="24"/>
        </w:rPr>
        <w:t xml:space="preserve">Plan se odnosi na cjelokupno područje </w:t>
      </w:r>
      <w:r w:rsidR="00920799" w:rsidRPr="00D33653">
        <w:rPr>
          <w:rFonts w:ascii="Times New Roman" w:hAnsi="Times New Roman" w:cs="Times New Roman"/>
          <w:sz w:val="24"/>
          <w:szCs w:val="24"/>
        </w:rPr>
        <w:t>Grada</w:t>
      </w:r>
      <w:r w:rsidR="00920799" w:rsidRPr="00D33653">
        <w:t xml:space="preserve"> </w:t>
      </w:r>
      <w:r w:rsidR="008C0A23" w:rsidRPr="00D33653">
        <w:rPr>
          <w:rFonts w:ascii="Times New Roman" w:hAnsi="Times New Roman" w:cs="Times New Roman"/>
          <w:sz w:val="24"/>
          <w:szCs w:val="24"/>
        </w:rPr>
        <w:t>Ludbreg</w:t>
      </w:r>
      <w:r w:rsidR="008E1512" w:rsidRPr="00D33653">
        <w:rPr>
          <w:rFonts w:ascii="Times New Roman" w:hAnsi="Times New Roman" w:cs="Times New Roman"/>
          <w:sz w:val="24"/>
          <w:szCs w:val="24"/>
        </w:rPr>
        <w:t>a</w:t>
      </w:r>
      <w:r w:rsidR="00920799" w:rsidRPr="00D33653">
        <w:rPr>
          <w:rFonts w:ascii="Times New Roman" w:hAnsi="Times New Roman" w:cs="Times New Roman"/>
          <w:sz w:val="24"/>
          <w:szCs w:val="24"/>
        </w:rPr>
        <w:t>.</w:t>
      </w:r>
    </w:p>
    <w:p w14:paraId="34D47D21" w14:textId="77777777" w:rsidR="003E126B" w:rsidRPr="001743AC" w:rsidRDefault="003E126B" w:rsidP="003E126B">
      <w:pPr>
        <w:rPr>
          <w:rFonts w:ascii="Times New Roman" w:hAnsi="Times New Roman" w:cs="Times New Roman"/>
          <w:sz w:val="24"/>
          <w:szCs w:val="24"/>
        </w:rPr>
      </w:pPr>
      <w:r w:rsidRPr="001743AC">
        <w:rPr>
          <w:rFonts w:ascii="Times New Roman" w:hAnsi="Times New Roman" w:cs="Times New Roman"/>
          <w:sz w:val="24"/>
          <w:szCs w:val="24"/>
        </w:rPr>
        <w:t>Plan se izrađuje u skladu sa Zakonom o zaštiti od svjetlosnog onečišćenja (NN14/19), Pravilnikom o zonama rasvijetljenosti, dopuštenim vrijednostima rasvjetljavanja i načinima upravljanja rasvjetnim sustavima (NN 128/20) i Pravilnikom o sadržaju, formatu i načinu izrade plana rasvjete i akcijskog plana gradnje i /ili rekonstrukcije vanjske rasvjete (NN 22/23).</w:t>
      </w:r>
    </w:p>
    <w:p w14:paraId="56D124DE" w14:textId="2967112C" w:rsidR="003E126B" w:rsidRPr="001743AC" w:rsidRDefault="001567FB" w:rsidP="003E126B">
      <w:pPr>
        <w:jc w:val="center"/>
        <w:rPr>
          <w:rFonts w:ascii="Times New Roman" w:hAnsi="Times New Roman" w:cs="Times New Roman"/>
          <w:b/>
          <w:bCs/>
          <w:sz w:val="24"/>
          <w:szCs w:val="24"/>
        </w:rPr>
      </w:pPr>
      <w:r w:rsidRPr="001743AC">
        <w:rPr>
          <w:rFonts w:ascii="Times New Roman" w:hAnsi="Times New Roman" w:cs="Times New Roman"/>
          <w:b/>
          <w:bCs/>
          <w:sz w:val="24"/>
          <w:szCs w:val="24"/>
        </w:rPr>
        <w:t>III.</w:t>
      </w:r>
    </w:p>
    <w:p w14:paraId="3080363C" w14:textId="77777777" w:rsidR="003E126B" w:rsidRPr="00635633" w:rsidRDefault="003E126B" w:rsidP="003E126B">
      <w:pPr>
        <w:jc w:val="left"/>
        <w:rPr>
          <w:rFonts w:ascii="Times New Roman" w:hAnsi="Times New Roman" w:cs="Times New Roman"/>
          <w:sz w:val="24"/>
          <w:szCs w:val="24"/>
        </w:rPr>
      </w:pPr>
      <w:r w:rsidRPr="00635633">
        <w:rPr>
          <w:rFonts w:ascii="Times New Roman" w:hAnsi="Times New Roman" w:cs="Times New Roman"/>
          <w:sz w:val="24"/>
          <w:szCs w:val="24"/>
        </w:rPr>
        <w:t>Plan predstavlja elaborat koji sadrži:</w:t>
      </w:r>
    </w:p>
    <w:p w14:paraId="41AD709E" w14:textId="77777777" w:rsidR="003E126B" w:rsidRPr="00635633" w:rsidRDefault="003E126B" w:rsidP="003E126B">
      <w:pPr>
        <w:jc w:val="left"/>
        <w:rPr>
          <w:rFonts w:ascii="Times New Roman" w:hAnsi="Times New Roman" w:cs="Times New Roman"/>
          <w:b/>
          <w:bCs/>
          <w:sz w:val="24"/>
          <w:szCs w:val="24"/>
        </w:rPr>
      </w:pPr>
      <w:r w:rsidRPr="00635633">
        <w:rPr>
          <w:rFonts w:ascii="Times New Roman" w:hAnsi="Times New Roman" w:cs="Times New Roman"/>
          <w:b/>
          <w:bCs/>
          <w:sz w:val="24"/>
          <w:szCs w:val="24"/>
        </w:rPr>
        <w:t>I. TEKSTUALNI DIO - ODREDBE ZA PROVEDBU</w:t>
      </w:r>
    </w:p>
    <w:p w14:paraId="0684E359" w14:textId="7E9DB571" w:rsidR="00F050E9" w:rsidRPr="00635633" w:rsidRDefault="00F050E9"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Uvod</w:t>
      </w:r>
    </w:p>
    <w:p w14:paraId="33128A06" w14:textId="1C5FE71B" w:rsidR="00F050E9" w:rsidRPr="00635633" w:rsidRDefault="00F050E9"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Zakonodavni okvir</w:t>
      </w:r>
    </w:p>
    <w:p w14:paraId="6945E6F6" w14:textId="6045DA3A" w:rsidR="00F050E9" w:rsidRPr="00635633" w:rsidRDefault="00F050E9"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Metodologija izrade Plana rasvjete</w:t>
      </w:r>
    </w:p>
    <w:p w14:paraId="6A980A83" w14:textId="636C5AC5" w:rsidR="00F050E9" w:rsidRPr="00635633" w:rsidRDefault="00F050E9"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Svjetlosno onečišćenje</w:t>
      </w:r>
    </w:p>
    <w:p w14:paraId="35C6288D" w14:textId="79FFEF9B" w:rsidR="003E126B" w:rsidRPr="00635633" w:rsidRDefault="003E126B"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Definiranje zona rasvijetljenosti</w:t>
      </w:r>
    </w:p>
    <w:p w14:paraId="0E0E8A2F" w14:textId="33E1D6F3" w:rsidR="003E126B" w:rsidRPr="00635633" w:rsidRDefault="003E126B"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Terminski plan rada rasvjete</w:t>
      </w:r>
    </w:p>
    <w:p w14:paraId="5ED7E232" w14:textId="3847F617" w:rsidR="003E126B" w:rsidRPr="00635633" w:rsidRDefault="003E126B"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Bilanca pokrivenosti</w:t>
      </w:r>
    </w:p>
    <w:p w14:paraId="1B0D900D" w14:textId="1B00D9C4" w:rsidR="003E126B" w:rsidRPr="00635633" w:rsidRDefault="003E126B"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Mjere zaštite posebno osjetljivih područja</w:t>
      </w:r>
    </w:p>
    <w:p w14:paraId="12E9D120" w14:textId="3287D91E" w:rsidR="00790B22" w:rsidRPr="00635633" w:rsidRDefault="00790B22"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Prijedlog smjernica razvoja sustava javne rasvjete</w:t>
      </w:r>
    </w:p>
    <w:p w14:paraId="2F08820E" w14:textId="5807B3A7" w:rsidR="00790B22" w:rsidRPr="00635633" w:rsidRDefault="00790B22"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Mobilizacija ključnih dionika</w:t>
      </w:r>
    </w:p>
    <w:p w14:paraId="099DA4F9" w14:textId="73C10A26" w:rsidR="00A63938" w:rsidRPr="00635633" w:rsidRDefault="00A63938"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Odredbe za provedbu</w:t>
      </w:r>
    </w:p>
    <w:p w14:paraId="31F033FA" w14:textId="25AD44DE" w:rsidR="00F050E9" w:rsidRPr="00635633" w:rsidRDefault="00790B22" w:rsidP="002C0A3E">
      <w:pPr>
        <w:pStyle w:val="Odlomakpopisa"/>
        <w:numPr>
          <w:ilvl w:val="0"/>
          <w:numId w:val="12"/>
        </w:numPr>
        <w:jc w:val="left"/>
        <w:rPr>
          <w:rFonts w:ascii="Times New Roman" w:hAnsi="Times New Roman" w:cs="Times New Roman"/>
          <w:sz w:val="24"/>
          <w:szCs w:val="24"/>
        </w:rPr>
      </w:pPr>
      <w:r w:rsidRPr="00635633">
        <w:rPr>
          <w:rFonts w:ascii="Times New Roman" w:hAnsi="Times New Roman" w:cs="Times New Roman"/>
          <w:sz w:val="24"/>
          <w:szCs w:val="24"/>
        </w:rPr>
        <w:t>Zaključak</w:t>
      </w:r>
    </w:p>
    <w:p w14:paraId="20C719AB" w14:textId="77777777" w:rsidR="00790B22" w:rsidRPr="00635633" w:rsidRDefault="003E126B" w:rsidP="00790B22">
      <w:pPr>
        <w:jc w:val="left"/>
        <w:rPr>
          <w:rFonts w:ascii="Times New Roman" w:hAnsi="Times New Roman" w:cs="Times New Roman"/>
          <w:b/>
          <w:bCs/>
          <w:sz w:val="24"/>
          <w:szCs w:val="24"/>
        </w:rPr>
      </w:pPr>
      <w:r w:rsidRPr="00635633">
        <w:rPr>
          <w:rFonts w:ascii="Times New Roman" w:hAnsi="Times New Roman" w:cs="Times New Roman"/>
          <w:b/>
          <w:bCs/>
          <w:sz w:val="24"/>
          <w:szCs w:val="24"/>
        </w:rPr>
        <w:t>II. GRAFIČKI DIO - KARTOGRAFSKI PRIKAZI</w:t>
      </w:r>
    </w:p>
    <w:p w14:paraId="5098AAD0" w14:textId="5A21AE12" w:rsidR="003E126B" w:rsidRPr="00635633" w:rsidRDefault="003E126B" w:rsidP="00790B22">
      <w:pPr>
        <w:pStyle w:val="Odlomakpopisa"/>
        <w:numPr>
          <w:ilvl w:val="0"/>
          <w:numId w:val="11"/>
        </w:numPr>
        <w:jc w:val="left"/>
        <w:rPr>
          <w:rFonts w:ascii="Times New Roman" w:hAnsi="Times New Roman" w:cs="Times New Roman"/>
          <w:sz w:val="24"/>
          <w:szCs w:val="24"/>
        </w:rPr>
      </w:pPr>
      <w:r w:rsidRPr="00635633">
        <w:rPr>
          <w:rFonts w:ascii="Times New Roman" w:hAnsi="Times New Roman" w:cs="Times New Roman"/>
          <w:sz w:val="24"/>
          <w:szCs w:val="24"/>
        </w:rPr>
        <w:t>Zone rasvijetljenosti</w:t>
      </w:r>
      <w:r w:rsidR="00790B22" w:rsidRPr="00635633">
        <w:rPr>
          <w:rFonts w:ascii="Times New Roman" w:hAnsi="Times New Roman" w:cs="Times New Roman"/>
          <w:sz w:val="24"/>
          <w:szCs w:val="24"/>
        </w:rPr>
        <w:t xml:space="preserve"> (</w:t>
      </w:r>
      <w:r w:rsidRPr="00635633">
        <w:rPr>
          <w:rFonts w:ascii="Times New Roman" w:hAnsi="Times New Roman" w:cs="Times New Roman"/>
          <w:sz w:val="24"/>
          <w:szCs w:val="24"/>
        </w:rPr>
        <w:t>1:25 000</w:t>
      </w:r>
      <w:r w:rsidR="00790B22" w:rsidRPr="00635633">
        <w:rPr>
          <w:rFonts w:ascii="Times New Roman" w:hAnsi="Times New Roman" w:cs="Times New Roman"/>
          <w:sz w:val="24"/>
          <w:szCs w:val="24"/>
        </w:rPr>
        <w:t>)</w:t>
      </w:r>
    </w:p>
    <w:p w14:paraId="1FB886A6" w14:textId="64422D41" w:rsidR="000758BF" w:rsidRPr="002F06EC" w:rsidRDefault="003E126B" w:rsidP="00790B22">
      <w:pPr>
        <w:rPr>
          <w:rFonts w:ascii="Times New Roman" w:hAnsi="Times New Roman" w:cs="Times New Roman"/>
          <w:sz w:val="24"/>
          <w:szCs w:val="24"/>
        </w:rPr>
      </w:pPr>
      <w:r w:rsidRPr="002E27D1">
        <w:rPr>
          <w:rFonts w:ascii="Times New Roman" w:hAnsi="Times New Roman" w:cs="Times New Roman"/>
          <w:sz w:val="24"/>
          <w:szCs w:val="24"/>
        </w:rPr>
        <w:lastRenderedPageBreak/>
        <w:t xml:space="preserve">Elaborat koji se sastoji od cjelina I. i II. iz prethodnog stavka ovoga članka ovjeren pečatom </w:t>
      </w:r>
      <w:r w:rsidR="00D500F0" w:rsidRPr="002E27D1">
        <w:rPr>
          <w:rFonts w:ascii="Times New Roman" w:hAnsi="Times New Roman" w:cs="Times New Roman"/>
          <w:sz w:val="24"/>
          <w:szCs w:val="24"/>
        </w:rPr>
        <w:t xml:space="preserve">Gradskog vijeća </w:t>
      </w:r>
      <w:r w:rsidR="00920799" w:rsidRPr="002E27D1">
        <w:rPr>
          <w:rFonts w:ascii="Times New Roman" w:hAnsi="Times New Roman" w:cs="Times New Roman"/>
          <w:sz w:val="24"/>
          <w:szCs w:val="24"/>
        </w:rPr>
        <w:t>Grada</w:t>
      </w:r>
      <w:r w:rsidR="00920799" w:rsidRPr="002E27D1">
        <w:t xml:space="preserve"> </w:t>
      </w:r>
      <w:r w:rsidR="008C0A23" w:rsidRPr="002E27D1">
        <w:rPr>
          <w:rFonts w:ascii="Times New Roman" w:hAnsi="Times New Roman" w:cs="Times New Roman"/>
          <w:sz w:val="24"/>
          <w:szCs w:val="24"/>
        </w:rPr>
        <w:t>Ludbreg</w:t>
      </w:r>
      <w:r w:rsidR="008E1512" w:rsidRPr="002E27D1">
        <w:rPr>
          <w:rFonts w:ascii="Times New Roman" w:hAnsi="Times New Roman" w:cs="Times New Roman"/>
          <w:sz w:val="24"/>
          <w:szCs w:val="24"/>
        </w:rPr>
        <w:t>a</w:t>
      </w:r>
      <w:r w:rsidR="00920799" w:rsidRPr="002E27D1">
        <w:rPr>
          <w:rFonts w:ascii="Times New Roman" w:hAnsi="Times New Roman" w:cs="Times New Roman"/>
          <w:sz w:val="24"/>
          <w:szCs w:val="24"/>
        </w:rPr>
        <w:t xml:space="preserve"> </w:t>
      </w:r>
      <w:r w:rsidRPr="002E27D1">
        <w:rPr>
          <w:rFonts w:ascii="Times New Roman" w:hAnsi="Times New Roman" w:cs="Times New Roman"/>
          <w:sz w:val="24"/>
          <w:szCs w:val="24"/>
        </w:rPr>
        <w:t>i potpisom</w:t>
      </w:r>
      <w:r w:rsidRPr="001C5D51">
        <w:rPr>
          <w:rFonts w:ascii="Times New Roman" w:hAnsi="Times New Roman" w:cs="Times New Roman"/>
          <w:sz w:val="24"/>
          <w:szCs w:val="24"/>
        </w:rPr>
        <w:t xml:space="preserve"> predsjednika </w:t>
      </w:r>
      <w:r w:rsidR="003A1EE9" w:rsidRPr="002F06EC">
        <w:rPr>
          <w:rFonts w:ascii="Times New Roman" w:hAnsi="Times New Roman" w:cs="Times New Roman"/>
          <w:sz w:val="24"/>
          <w:szCs w:val="24"/>
        </w:rPr>
        <w:t xml:space="preserve">Gradskog vijeća Grada </w:t>
      </w:r>
      <w:r w:rsidR="008C0A23" w:rsidRPr="002F06EC">
        <w:rPr>
          <w:rFonts w:ascii="Times New Roman" w:hAnsi="Times New Roman" w:cs="Times New Roman"/>
          <w:sz w:val="24"/>
          <w:szCs w:val="24"/>
        </w:rPr>
        <w:t>Ludbreg</w:t>
      </w:r>
      <w:r w:rsidR="008E1512" w:rsidRPr="002F06EC">
        <w:rPr>
          <w:rFonts w:ascii="Times New Roman" w:hAnsi="Times New Roman" w:cs="Times New Roman"/>
          <w:sz w:val="24"/>
          <w:szCs w:val="24"/>
        </w:rPr>
        <w:t>a</w:t>
      </w:r>
      <w:r w:rsidRPr="002F06EC">
        <w:rPr>
          <w:rFonts w:ascii="Times New Roman" w:hAnsi="Times New Roman" w:cs="Times New Roman"/>
          <w:sz w:val="24"/>
          <w:szCs w:val="24"/>
        </w:rPr>
        <w:t>, sastavni je dio ove Odluke.</w:t>
      </w:r>
    </w:p>
    <w:p w14:paraId="4C519107" w14:textId="4BE46D8B" w:rsidR="00091A53" w:rsidRPr="002F06EC" w:rsidRDefault="00BF7F37" w:rsidP="000758BF">
      <w:pPr>
        <w:jc w:val="center"/>
        <w:rPr>
          <w:rFonts w:ascii="Times New Roman" w:hAnsi="Times New Roman" w:cs="Times New Roman"/>
          <w:b/>
          <w:bCs/>
          <w:sz w:val="24"/>
          <w:szCs w:val="24"/>
        </w:rPr>
      </w:pPr>
      <w:r w:rsidRPr="002F06EC">
        <w:rPr>
          <w:rFonts w:ascii="Times New Roman" w:hAnsi="Times New Roman" w:cs="Times New Roman"/>
          <w:b/>
          <w:bCs/>
          <w:sz w:val="24"/>
          <w:szCs w:val="24"/>
        </w:rPr>
        <w:t>GRADSKO</w:t>
      </w:r>
      <w:r w:rsidR="000758BF" w:rsidRPr="002F06EC">
        <w:rPr>
          <w:rFonts w:ascii="Times New Roman" w:hAnsi="Times New Roman" w:cs="Times New Roman"/>
          <w:b/>
          <w:bCs/>
          <w:sz w:val="24"/>
          <w:szCs w:val="24"/>
        </w:rPr>
        <w:t xml:space="preserve"> VIJEĆE </w:t>
      </w:r>
    </w:p>
    <w:p w14:paraId="688989F8" w14:textId="76FED4DD" w:rsidR="000758BF" w:rsidRPr="002F06EC" w:rsidRDefault="00BF7F37" w:rsidP="000758BF">
      <w:pPr>
        <w:jc w:val="center"/>
        <w:rPr>
          <w:rFonts w:ascii="Times New Roman" w:hAnsi="Times New Roman" w:cs="Times New Roman"/>
          <w:b/>
          <w:bCs/>
          <w:sz w:val="24"/>
          <w:szCs w:val="24"/>
        </w:rPr>
      </w:pPr>
      <w:r w:rsidRPr="002F06EC">
        <w:rPr>
          <w:rFonts w:ascii="Times New Roman" w:hAnsi="Times New Roman" w:cs="Times New Roman"/>
          <w:b/>
          <w:bCs/>
          <w:sz w:val="24"/>
          <w:szCs w:val="24"/>
        </w:rPr>
        <w:t xml:space="preserve">GRADA </w:t>
      </w:r>
      <w:r w:rsidR="008C0A23" w:rsidRPr="002F06EC">
        <w:rPr>
          <w:rFonts w:ascii="Times New Roman" w:hAnsi="Times New Roman" w:cs="Times New Roman"/>
          <w:b/>
          <w:bCs/>
          <w:sz w:val="24"/>
          <w:szCs w:val="24"/>
        </w:rPr>
        <w:t>LUDBREG</w:t>
      </w:r>
      <w:r w:rsidR="008E1512" w:rsidRPr="002F06EC">
        <w:rPr>
          <w:rFonts w:ascii="Times New Roman" w:hAnsi="Times New Roman" w:cs="Times New Roman"/>
          <w:b/>
          <w:bCs/>
          <w:sz w:val="24"/>
          <w:szCs w:val="24"/>
        </w:rPr>
        <w:t>A</w:t>
      </w:r>
    </w:p>
    <w:p w14:paraId="290F51BE" w14:textId="32F51F1C" w:rsidR="000758BF" w:rsidRPr="001C5D51" w:rsidRDefault="00091A53" w:rsidP="000758BF">
      <w:pPr>
        <w:jc w:val="left"/>
        <w:rPr>
          <w:rFonts w:ascii="Times New Roman" w:hAnsi="Times New Roman" w:cs="Times New Roman"/>
          <w:sz w:val="24"/>
          <w:szCs w:val="24"/>
        </w:rPr>
      </w:pPr>
      <w:r w:rsidRPr="001C5D51">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03494859" wp14:editId="3121F2D2">
                <wp:simplePos x="0" y="0"/>
                <wp:positionH relativeFrom="margin">
                  <wp:posOffset>3502660</wp:posOffset>
                </wp:positionH>
                <wp:positionV relativeFrom="paragraph">
                  <wp:posOffset>19050</wp:posOffset>
                </wp:positionV>
                <wp:extent cx="23266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404620"/>
                        </a:xfrm>
                        <a:prstGeom prst="rect">
                          <a:avLst/>
                        </a:prstGeom>
                        <a:solidFill>
                          <a:srgbClr val="FFFFFF"/>
                        </a:solidFill>
                        <a:ln w="9525">
                          <a:noFill/>
                          <a:miter lim="800000"/>
                          <a:headEnd/>
                          <a:tailEnd/>
                        </a:ln>
                      </wps:spPr>
                      <wps:txbx>
                        <w:txbxContent>
                          <w:p w14:paraId="065D0CB6" w14:textId="3E696992" w:rsidR="000758BF" w:rsidRPr="00355AAF" w:rsidRDefault="000758BF" w:rsidP="003B0D1D">
                            <w:pPr>
                              <w:jc w:val="center"/>
                              <w:rPr>
                                <w:rFonts w:ascii="Times New Roman" w:hAnsi="Times New Roman" w:cs="Times New Roman"/>
                              </w:rPr>
                            </w:pPr>
                            <w:r w:rsidRPr="001C5D51">
                              <w:rPr>
                                <w:rFonts w:ascii="Times New Roman" w:hAnsi="Times New Roman" w:cs="Times New Roman"/>
                              </w:rPr>
                              <w:t>PREDSJEDNIK:</w:t>
                            </w:r>
                          </w:p>
                          <w:p w14:paraId="6A128000" w14:textId="5C004834" w:rsidR="000758BF" w:rsidRPr="00355AAF" w:rsidRDefault="000F20BE" w:rsidP="000758BF">
                            <w:pPr>
                              <w:jc w:val="center"/>
                              <w:rPr>
                                <w:rFonts w:ascii="Times New Roman" w:hAnsi="Times New Roman" w:cs="Times New Roman"/>
                              </w:rPr>
                            </w:pPr>
                            <w:r w:rsidRPr="001C5D51">
                              <w:rPr>
                                <w:rFonts w:ascii="Times New Roman" w:hAnsi="Times New Roman" w:cs="Times New Roman"/>
                              </w:rPr>
                              <w:t>________ _________</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3494859" id="_x0000_t202" coordsize="21600,21600" o:spt="202" path="m,l,21600r21600,l21600,xe">
                <v:stroke joinstyle="miter"/>
                <v:path gradientshapeok="t" o:connecttype="rect"/>
              </v:shapetype>
              <v:shape id="Text Box 2" o:spid="_x0000_s1026" type="#_x0000_t202" style="position:absolute;margin-left:275.8pt;margin-top:1.5pt;width:183.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" stroked="f">
                <v:textbox style="mso-fit-shape-to-text:t">
                  <w:txbxContent>
                    <w:p w14:paraId="065D0CB6" w14:textId="3E696992" w:rsidR="000758BF" w:rsidRPr="00355AAF" w:rsidRDefault="000758BF" w:rsidP="003B0D1D">
                      <w:pPr>
                        <w:jc w:val="center"/>
                        <w:rPr>
                          <w:rFonts w:ascii="Times New Roman" w:hAnsi="Times New Roman" w:cs="Times New Roman"/>
                        </w:rPr>
                      </w:pPr>
                      <w:r w:rsidRPr="001C5D51">
                        <w:rPr>
                          <w:rFonts w:ascii="Times New Roman" w:hAnsi="Times New Roman" w:cs="Times New Roman"/>
                        </w:rPr>
                        <w:t>PREDSJEDNIK:</w:t>
                      </w:r>
                    </w:p>
                    <w:p w14:paraId="6A128000" w14:textId="5C004834" w:rsidR="000758BF" w:rsidRPr="00355AAF" w:rsidRDefault="000F20BE" w:rsidP="000758BF">
                      <w:pPr>
                        <w:jc w:val="center"/>
                        <w:rPr>
                          <w:rFonts w:ascii="Times New Roman" w:hAnsi="Times New Roman" w:cs="Times New Roman"/>
                        </w:rPr>
                      </w:pPr>
                      <w:r w:rsidRPr="001C5D51">
                        <w:rPr>
                          <w:rFonts w:ascii="Times New Roman" w:hAnsi="Times New Roman" w:cs="Times New Roman"/>
                        </w:rPr>
                        <w:t>________ _________</w:t>
                      </w:r>
                    </w:p>
                  </w:txbxContent>
                </v:textbox>
                <w10:wrap type="square" anchorx="margin"/>
              </v:shape>
            </w:pict>
          </mc:Fallback>
        </mc:AlternateContent>
      </w:r>
      <w:r w:rsidR="000758BF" w:rsidRPr="001C5D51">
        <w:rPr>
          <w:rFonts w:ascii="Times New Roman" w:hAnsi="Times New Roman" w:cs="Times New Roman"/>
          <w:sz w:val="24"/>
          <w:szCs w:val="24"/>
        </w:rPr>
        <w:t>KLASA:</w:t>
      </w:r>
      <w:r w:rsidR="00EE1FF5" w:rsidRPr="001C5D51">
        <w:rPr>
          <w:rFonts w:ascii="Times New Roman" w:hAnsi="Times New Roman" w:cs="Times New Roman"/>
          <w:sz w:val="24"/>
          <w:szCs w:val="24"/>
        </w:rPr>
        <w:t xml:space="preserve"> XXXX</w:t>
      </w:r>
    </w:p>
    <w:p w14:paraId="338BE0B8" w14:textId="0925D5E3" w:rsidR="000758BF" w:rsidRPr="001C5D51" w:rsidRDefault="000758BF">
      <w:pPr>
        <w:rPr>
          <w:rFonts w:ascii="Times New Roman" w:hAnsi="Times New Roman" w:cs="Times New Roman"/>
          <w:sz w:val="24"/>
          <w:szCs w:val="24"/>
        </w:rPr>
      </w:pPr>
      <w:r w:rsidRPr="001C5D51">
        <w:rPr>
          <w:rFonts w:ascii="Times New Roman" w:hAnsi="Times New Roman" w:cs="Times New Roman"/>
          <w:sz w:val="24"/>
          <w:szCs w:val="24"/>
        </w:rPr>
        <w:t>URBROJ:</w:t>
      </w:r>
      <w:r w:rsidR="00EE1FF5" w:rsidRPr="001C5D51">
        <w:rPr>
          <w:rFonts w:ascii="Times New Roman" w:hAnsi="Times New Roman" w:cs="Times New Roman"/>
          <w:sz w:val="24"/>
          <w:szCs w:val="24"/>
        </w:rPr>
        <w:t xml:space="preserve"> XXXX</w:t>
      </w:r>
    </w:p>
    <w:p w14:paraId="4296C906" w14:textId="0FE44779" w:rsidR="000758BF" w:rsidRPr="000261FA" w:rsidRDefault="008C0A23">
      <w:pPr>
        <w:rPr>
          <w:rFonts w:ascii="Times New Roman" w:hAnsi="Times New Roman" w:cs="Times New Roman"/>
          <w:sz w:val="24"/>
          <w:szCs w:val="24"/>
          <w:highlight w:val="yellow"/>
        </w:rPr>
      </w:pPr>
      <w:r w:rsidRPr="002F06EC">
        <w:rPr>
          <w:rFonts w:ascii="Times New Roman" w:hAnsi="Times New Roman" w:cs="Times New Roman"/>
          <w:sz w:val="24"/>
          <w:szCs w:val="24"/>
        </w:rPr>
        <w:t>LUDBREG</w:t>
      </w:r>
      <w:r w:rsidR="000758BF" w:rsidRPr="001C5D51">
        <w:rPr>
          <w:rFonts w:ascii="Times New Roman" w:hAnsi="Times New Roman" w:cs="Times New Roman"/>
          <w:sz w:val="24"/>
          <w:szCs w:val="24"/>
        </w:rPr>
        <w:t>, ___.___. 202</w:t>
      </w:r>
      <w:r w:rsidR="00EE1FF5" w:rsidRPr="001C5D51">
        <w:rPr>
          <w:rFonts w:ascii="Times New Roman" w:hAnsi="Times New Roman" w:cs="Times New Roman"/>
          <w:sz w:val="24"/>
          <w:szCs w:val="24"/>
        </w:rPr>
        <w:t>5</w:t>
      </w:r>
      <w:r w:rsidR="000758BF" w:rsidRPr="001C5D51">
        <w:rPr>
          <w:rFonts w:ascii="Times New Roman" w:hAnsi="Times New Roman" w:cs="Times New Roman"/>
          <w:sz w:val="24"/>
          <w:szCs w:val="24"/>
        </w:rPr>
        <w:t>.</w:t>
      </w:r>
    </w:p>
    <w:p w14:paraId="35576EF5" w14:textId="77777777" w:rsidR="001567FB" w:rsidRPr="000261FA" w:rsidRDefault="001567FB">
      <w:pPr>
        <w:rPr>
          <w:rFonts w:ascii="Times New Roman" w:hAnsi="Times New Roman" w:cs="Times New Roman"/>
          <w:sz w:val="24"/>
          <w:szCs w:val="24"/>
          <w:highlight w:val="yellow"/>
        </w:rPr>
      </w:pPr>
    </w:p>
    <w:p w14:paraId="542563C6" w14:textId="647616CD" w:rsidR="001567FB" w:rsidRPr="002F06EC" w:rsidRDefault="001567FB" w:rsidP="001567FB">
      <w:pPr>
        <w:jc w:val="center"/>
        <w:rPr>
          <w:rFonts w:ascii="Times New Roman" w:hAnsi="Times New Roman" w:cs="Times New Roman"/>
          <w:b/>
          <w:bCs/>
          <w:color w:val="000000"/>
          <w:sz w:val="24"/>
          <w:szCs w:val="24"/>
        </w:rPr>
      </w:pPr>
      <w:r w:rsidRPr="002F06EC">
        <w:rPr>
          <w:rFonts w:ascii="Times New Roman" w:hAnsi="Times New Roman" w:cs="Times New Roman"/>
          <w:b/>
          <w:bCs/>
          <w:color w:val="000000"/>
          <w:sz w:val="24"/>
          <w:szCs w:val="24"/>
        </w:rPr>
        <w:t>O b r a z l o ž e nj e</w:t>
      </w:r>
    </w:p>
    <w:p w14:paraId="7ED306B2" w14:textId="065E9F70" w:rsidR="00A244AA" w:rsidRPr="002F06EC" w:rsidRDefault="001567FB" w:rsidP="00A244AA">
      <w:pPr>
        <w:jc w:val="center"/>
        <w:rPr>
          <w:rFonts w:ascii="Times New Roman" w:hAnsi="Times New Roman" w:cs="Times New Roman"/>
          <w:b/>
          <w:bCs/>
          <w:color w:val="000000"/>
          <w:sz w:val="24"/>
          <w:szCs w:val="24"/>
        </w:rPr>
      </w:pPr>
      <w:r w:rsidRPr="002F06EC">
        <w:rPr>
          <w:rFonts w:ascii="Times New Roman" w:hAnsi="Times New Roman" w:cs="Times New Roman"/>
          <w:b/>
          <w:bCs/>
          <w:color w:val="000000"/>
          <w:sz w:val="24"/>
          <w:szCs w:val="24"/>
        </w:rPr>
        <w:t xml:space="preserve">Odluke o donošenju Plana rasvjete </w:t>
      </w:r>
      <w:r w:rsidR="0034110C" w:rsidRPr="002F06EC">
        <w:rPr>
          <w:rFonts w:ascii="Times New Roman" w:hAnsi="Times New Roman" w:cs="Times New Roman"/>
          <w:b/>
          <w:bCs/>
          <w:color w:val="000000"/>
          <w:sz w:val="24"/>
          <w:szCs w:val="24"/>
        </w:rPr>
        <w:t xml:space="preserve">Grada </w:t>
      </w:r>
      <w:r w:rsidR="008C0A23" w:rsidRPr="002F06EC">
        <w:rPr>
          <w:rFonts w:ascii="Times New Roman" w:hAnsi="Times New Roman" w:cs="Times New Roman"/>
          <w:b/>
          <w:bCs/>
          <w:color w:val="000000"/>
          <w:sz w:val="24"/>
          <w:szCs w:val="24"/>
        </w:rPr>
        <w:t>Ludbreg</w:t>
      </w:r>
      <w:r w:rsidR="008E1512" w:rsidRPr="002F06EC">
        <w:rPr>
          <w:rFonts w:ascii="Times New Roman" w:hAnsi="Times New Roman" w:cs="Times New Roman"/>
          <w:b/>
          <w:bCs/>
          <w:color w:val="000000"/>
          <w:sz w:val="24"/>
          <w:szCs w:val="24"/>
        </w:rPr>
        <w:t>a</w:t>
      </w:r>
    </w:p>
    <w:p w14:paraId="6FF7A066" w14:textId="5157E602" w:rsidR="001567FB" w:rsidRPr="009461DA" w:rsidRDefault="00A244AA" w:rsidP="00A244AA">
      <w:pPr>
        <w:spacing w:before="360"/>
        <w:rPr>
          <w:rFonts w:ascii="Times New Roman" w:hAnsi="Times New Roman" w:cs="Times New Roman"/>
          <w:sz w:val="24"/>
          <w:szCs w:val="24"/>
        </w:rPr>
      </w:pPr>
      <w:r w:rsidRPr="00CF45D8">
        <w:rPr>
          <w:rFonts w:ascii="Times New Roman" w:hAnsi="Times New Roman" w:cs="Times New Roman"/>
          <w:sz w:val="24"/>
          <w:szCs w:val="24"/>
        </w:rPr>
        <w:t xml:space="preserve">Zakonom o zaštiti od svjetlosnog onečišćenja („Narodne novine“ broj 14/19, u daljnjem tekstu: Zakon) uređuje se zaštita od svjetlosnog onečišćenja koja obuhvaća obveznike zaštite od svjetlosnog onečišćenja, mjere zaštite od svjetlosnog onečišćenja, način utvrđivanja najviše </w:t>
      </w:r>
      <w:r w:rsidRPr="00896F2F">
        <w:rPr>
          <w:rFonts w:ascii="Times New Roman" w:hAnsi="Times New Roman" w:cs="Times New Roman"/>
          <w:sz w:val="24"/>
          <w:szCs w:val="24"/>
        </w:rPr>
        <w:t xml:space="preserve">dopuštenih vrijednosti rasvjetljavanja, ograničenja i zabrane rasvjetljavanja, uvjete za planiranje, gradnju, održavanje i rekonstrukciju vanjske rasvjete, mjerenje i način praćenja rasvijetljenosti okoliša te druga pitanja radi smanjenja svjetlosnog onečišćenja okoliša i posljedica djelovanja svjetlosnog onečišćenja. Prema članku 12. stavku 3 istog Zakona, jedinice lokalne samouprave i Grad Zagreb dužni su za svoje područje izraditi plan rasvjete i dostaviti ih Ministarstvu u roku od 12 mjeseci od dana stupanja na snagu pravilnika iz članka 10. stavka 3. i članka 12. stavka 8. istoga Zakona. </w:t>
      </w:r>
      <w:r w:rsidR="001567FB" w:rsidRPr="00896F2F">
        <w:rPr>
          <w:rFonts w:ascii="Times New Roman" w:hAnsi="Times New Roman" w:cs="Times New Roman"/>
          <w:sz w:val="24"/>
          <w:szCs w:val="24"/>
        </w:rPr>
        <w:t>Obveza izrade plana rasvjete proizlazi iz Zakona</w:t>
      </w:r>
      <w:r w:rsidRPr="00896F2F">
        <w:rPr>
          <w:rFonts w:ascii="Times New Roman" w:hAnsi="Times New Roman" w:cs="Times New Roman"/>
          <w:sz w:val="24"/>
          <w:szCs w:val="24"/>
        </w:rPr>
        <w:t>.</w:t>
      </w:r>
      <w:r w:rsidR="001567FB" w:rsidRPr="00896F2F">
        <w:rPr>
          <w:rFonts w:ascii="Times New Roman" w:hAnsi="Times New Roman" w:cs="Times New Roman"/>
          <w:sz w:val="24"/>
          <w:szCs w:val="24"/>
        </w:rPr>
        <w:t xml:space="preserve"> Plan rasvjete je plan vanjske rasvjete i dekorativne rasvjete koji donose jedinice lokalne samouprave i Grad Zagreb, u skladu s prostornim i urbanističkim planovima, a kojim se određuju zone ugradnje rasvjete i tehnički parametri rasvjete. On je definiran u članku 12. Zakona. </w:t>
      </w:r>
      <w:r w:rsidR="009E1B2E" w:rsidRPr="00896F2F">
        <w:rPr>
          <w:rFonts w:ascii="Times New Roman" w:hAnsi="Times New Roman" w:cs="Times New Roman"/>
          <w:sz w:val="24"/>
          <w:szCs w:val="24"/>
        </w:rPr>
        <w:t xml:space="preserve">Plan rasvjete koji izrađuje jedinica lokalne samouprave odnosno Grad Zagreb čini podlogu za projekt vanjske rasvjete. Plan rasvjete mora biti usklađen s prostornim i urbanističkim planovima,  tehnički parametri rasvjete u skladu sa Zakonom. Predstavničko tijelo jedinica lokalne samouprave odnosno Grada Zagreba donosi plan rasvjete za svoje administrativno područje. Nadležno upravno tijelo jedinice lokalne samouprave odnosno Grada Zagreba osigurava izradu plana rasvjete. Doneseni plan rasvjete </w:t>
      </w:r>
      <w:r w:rsidR="001567FB" w:rsidRPr="00896F2F">
        <w:rPr>
          <w:rFonts w:ascii="Times New Roman" w:hAnsi="Times New Roman" w:cs="Times New Roman"/>
          <w:sz w:val="24"/>
          <w:szCs w:val="24"/>
        </w:rPr>
        <w:t xml:space="preserve">dostavlja se Ministarstvu zaduženome za zaštitu okoliša, te je on sastavni dio informacijskog sustava zaštite okoliša i prirode Republike Hrvatske. </w:t>
      </w:r>
      <w:r w:rsidR="009E1B2E" w:rsidRPr="00896F2F">
        <w:rPr>
          <w:rFonts w:ascii="Times New Roman" w:hAnsi="Times New Roman" w:cs="Times New Roman"/>
          <w:sz w:val="24"/>
          <w:szCs w:val="24"/>
        </w:rPr>
        <w:t>Plan rasvjete</w:t>
      </w:r>
      <w:r w:rsidR="001567FB" w:rsidRPr="00896F2F">
        <w:rPr>
          <w:rFonts w:ascii="Times New Roman" w:hAnsi="Times New Roman" w:cs="Times New Roman"/>
          <w:sz w:val="24"/>
          <w:szCs w:val="24"/>
        </w:rPr>
        <w:t xml:space="preserve"> mora biti usklađen s Pravilnikom o zonama rasvijetljenosti, dopuštenim vrijednostima rasvjetljavanja i načinima upravljanja rasvjetnim sustavima („Narodne novine“ broj 128/2020)</w:t>
      </w:r>
      <w:r w:rsidRPr="00896F2F">
        <w:rPr>
          <w:rFonts w:ascii="Times New Roman" w:hAnsi="Times New Roman" w:cs="Times New Roman"/>
          <w:sz w:val="24"/>
          <w:szCs w:val="24"/>
        </w:rPr>
        <w:t>, Pravilnikom o mjerenju i načinu praćenja rasvijetljenosti okoliša (</w:t>
      </w:r>
      <w:r w:rsidR="003562F5" w:rsidRPr="00896F2F">
        <w:rPr>
          <w:rFonts w:ascii="Times New Roman" w:hAnsi="Times New Roman" w:cs="Times New Roman"/>
          <w:sz w:val="24"/>
          <w:szCs w:val="24"/>
        </w:rPr>
        <w:t xml:space="preserve">„Narodne novine“ broj </w:t>
      </w:r>
      <w:r w:rsidRPr="00896F2F">
        <w:rPr>
          <w:rFonts w:ascii="Times New Roman" w:hAnsi="Times New Roman" w:cs="Times New Roman"/>
          <w:sz w:val="24"/>
          <w:szCs w:val="24"/>
        </w:rPr>
        <w:t>22/2023)</w:t>
      </w:r>
      <w:r w:rsidR="001567FB" w:rsidRPr="00896F2F">
        <w:rPr>
          <w:rFonts w:ascii="Times New Roman" w:hAnsi="Times New Roman" w:cs="Times New Roman"/>
          <w:sz w:val="24"/>
          <w:szCs w:val="24"/>
        </w:rPr>
        <w:t xml:space="preserve"> i Pravilnikom o sadržaju, formatu i načinu izrade plana rasvjete i akcijskog plana gradnje i/ili rekonstrukcije vanjske rasvjete („Narodne novine“ broj 22/2023) te se samim time predlaže donošenje Odluke o donošenju </w:t>
      </w:r>
      <w:r w:rsidR="009E1B2E" w:rsidRPr="00896F2F">
        <w:rPr>
          <w:rFonts w:ascii="Times New Roman" w:hAnsi="Times New Roman" w:cs="Times New Roman"/>
          <w:sz w:val="24"/>
          <w:szCs w:val="24"/>
        </w:rPr>
        <w:t xml:space="preserve">Plana rasvjete </w:t>
      </w:r>
      <w:r w:rsidR="0034110C" w:rsidRPr="00896F2F">
        <w:rPr>
          <w:rFonts w:ascii="Times New Roman" w:hAnsi="Times New Roman" w:cs="Times New Roman"/>
          <w:sz w:val="24"/>
          <w:szCs w:val="24"/>
        </w:rPr>
        <w:t xml:space="preserve">Grada </w:t>
      </w:r>
      <w:r w:rsidR="008C0A23" w:rsidRPr="00896F2F">
        <w:rPr>
          <w:rFonts w:ascii="Times New Roman" w:hAnsi="Times New Roman" w:cs="Times New Roman"/>
          <w:sz w:val="24"/>
          <w:szCs w:val="24"/>
        </w:rPr>
        <w:t>Ludbreg</w:t>
      </w:r>
      <w:r w:rsidR="008E1512" w:rsidRPr="00896F2F">
        <w:rPr>
          <w:rFonts w:ascii="Times New Roman" w:hAnsi="Times New Roman" w:cs="Times New Roman"/>
          <w:sz w:val="24"/>
          <w:szCs w:val="24"/>
        </w:rPr>
        <w:t>a</w:t>
      </w:r>
      <w:r w:rsidR="009E1B2E" w:rsidRPr="00896F2F">
        <w:rPr>
          <w:rFonts w:ascii="Times New Roman" w:hAnsi="Times New Roman" w:cs="Times New Roman"/>
          <w:sz w:val="24"/>
          <w:szCs w:val="24"/>
        </w:rPr>
        <w:t>.</w:t>
      </w:r>
    </w:p>
    <w:sectPr w:rsidR="001567FB" w:rsidRPr="00946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B6D"/>
    <w:multiLevelType w:val="hybridMultilevel"/>
    <w:tmpl w:val="E8D26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131B2A"/>
    <w:multiLevelType w:val="hybridMultilevel"/>
    <w:tmpl w:val="A920E004"/>
    <w:lvl w:ilvl="0" w:tplc="AAC241CC">
      <w:numFmt w:val="bullet"/>
      <w:lvlText w:val="•"/>
      <w:lvlJc w:val="left"/>
      <w:pPr>
        <w:ind w:left="1068" w:hanging="708"/>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3305F6"/>
    <w:multiLevelType w:val="hybridMultilevel"/>
    <w:tmpl w:val="D9309F88"/>
    <w:lvl w:ilvl="0" w:tplc="AAC241CC">
      <w:numFmt w:val="bullet"/>
      <w:lvlText w:val="•"/>
      <w:lvlJc w:val="left"/>
      <w:pPr>
        <w:ind w:left="1428" w:hanging="708"/>
      </w:pPr>
      <w:rPr>
        <w:rFonts w:ascii="Calibri Light" w:eastAsiaTheme="minorHAnsi"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FC92674"/>
    <w:multiLevelType w:val="hybridMultilevel"/>
    <w:tmpl w:val="390C0B0E"/>
    <w:lvl w:ilvl="0" w:tplc="AAC241CC">
      <w:numFmt w:val="bullet"/>
      <w:lvlText w:val="•"/>
      <w:lvlJc w:val="left"/>
      <w:pPr>
        <w:ind w:left="1068" w:hanging="708"/>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75F74"/>
    <w:multiLevelType w:val="hybridMultilevel"/>
    <w:tmpl w:val="25C8F3CA"/>
    <w:lvl w:ilvl="0" w:tplc="AAC241CC">
      <w:numFmt w:val="bullet"/>
      <w:lvlText w:val="•"/>
      <w:lvlJc w:val="left"/>
      <w:pPr>
        <w:ind w:left="1080" w:hanging="360"/>
      </w:pPr>
      <w:rPr>
        <w:rFonts w:ascii="Calibri Light" w:eastAsiaTheme="minorHAnsi" w:hAnsi="Calibri Light" w:cs="Calibri Light"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4681D20"/>
    <w:multiLevelType w:val="hybridMultilevel"/>
    <w:tmpl w:val="0382D074"/>
    <w:lvl w:ilvl="0" w:tplc="AAC241CC">
      <w:numFmt w:val="bullet"/>
      <w:lvlText w:val="•"/>
      <w:lvlJc w:val="left"/>
      <w:pPr>
        <w:ind w:left="1416" w:hanging="708"/>
      </w:pPr>
      <w:rPr>
        <w:rFonts w:ascii="Calibri Light" w:eastAsiaTheme="minorHAnsi" w:hAnsi="Calibri Light" w:cs="Calibri Light"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59236CF7"/>
    <w:multiLevelType w:val="hybridMultilevel"/>
    <w:tmpl w:val="052236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B25A06"/>
    <w:multiLevelType w:val="hybridMultilevel"/>
    <w:tmpl w:val="CB6C8B86"/>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5D571BF7"/>
    <w:multiLevelType w:val="hybridMultilevel"/>
    <w:tmpl w:val="EF648B16"/>
    <w:lvl w:ilvl="0" w:tplc="AAC241CC">
      <w:numFmt w:val="bullet"/>
      <w:lvlText w:val="•"/>
      <w:lvlJc w:val="left"/>
      <w:pPr>
        <w:ind w:left="1428" w:hanging="708"/>
      </w:pPr>
      <w:rPr>
        <w:rFonts w:ascii="Calibri Light" w:eastAsiaTheme="minorHAnsi"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5E263242"/>
    <w:multiLevelType w:val="hybridMultilevel"/>
    <w:tmpl w:val="A908265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4EB3AF7"/>
    <w:multiLevelType w:val="hybridMultilevel"/>
    <w:tmpl w:val="B126975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C397752"/>
    <w:multiLevelType w:val="hybridMultilevel"/>
    <w:tmpl w:val="B43C1204"/>
    <w:lvl w:ilvl="0" w:tplc="AAC241CC">
      <w:numFmt w:val="bullet"/>
      <w:lvlText w:val="•"/>
      <w:lvlJc w:val="left"/>
      <w:pPr>
        <w:ind w:left="1416" w:hanging="708"/>
      </w:pPr>
      <w:rPr>
        <w:rFonts w:ascii="Calibri Light" w:eastAsiaTheme="minorHAnsi" w:hAnsi="Calibri Light" w:cs="Calibri Light"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64948418">
    <w:abstractNumId w:val="0"/>
  </w:num>
  <w:num w:numId="2" w16cid:durableId="250355805">
    <w:abstractNumId w:val="3"/>
  </w:num>
  <w:num w:numId="3" w16cid:durableId="1908303759">
    <w:abstractNumId w:val="2"/>
  </w:num>
  <w:num w:numId="4" w16cid:durableId="1968320094">
    <w:abstractNumId w:val="1"/>
  </w:num>
  <w:num w:numId="5" w16cid:durableId="2136630063">
    <w:abstractNumId w:val="5"/>
  </w:num>
  <w:num w:numId="6" w16cid:durableId="1276717665">
    <w:abstractNumId w:val="11"/>
  </w:num>
  <w:num w:numId="7" w16cid:durableId="816994952">
    <w:abstractNumId w:val="8"/>
  </w:num>
  <w:num w:numId="8" w16cid:durableId="999233672">
    <w:abstractNumId w:val="7"/>
  </w:num>
  <w:num w:numId="9" w16cid:durableId="1787655301">
    <w:abstractNumId w:val="6"/>
  </w:num>
  <w:num w:numId="10" w16cid:durableId="997541882">
    <w:abstractNumId w:val="4"/>
  </w:num>
  <w:num w:numId="11" w16cid:durableId="1917856973">
    <w:abstractNumId w:val="9"/>
  </w:num>
  <w:num w:numId="12" w16cid:durableId="292516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6B"/>
    <w:rsid w:val="000261FA"/>
    <w:rsid w:val="00026AB0"/>
    <w:rsid w:val="00031AAE"/>
    <w:rsid w:val="0004403B"/>
    <w:rsid w:val="000758BF"/>
    <w:rsid w:val="00080C1F"/>
    <w:rsid w:val="00091A53"/>
    <w:rsid w:val="0009511E"/>
    <w:rsid w:val="000E7C83"/>
    <w:rsid w:val="000F206F"/>
    <w:rsid w:val="000F20BE"/>
    <w:rsid w:val="001567FB"/>
    <w:rsid w:val="00164C2C"/>
    <w:rsid w:val="00171E44"/>
    <w:rsid w:val="001743AC"/>
    <w:rsid w:val="00183227"/>
    <w:rsid w:val="001872B7"/>
    <w:rsid w:val="001A5DAD"/>
    <w:rsid w:val="001C0F34"/>
    <w:rsid w:val="001C5D51"/>
    <w:rsid w:val="001F3305"/>
    <w:rsid w:val="002319D6"/>
    <w:rsid w:val="00234EC2"/>
    <w:rsid w:val="0024715C"/>
    <w:rsid w:val="0028445C"/>
    <w:rsid w:val="00287249"/>
    <w:rsid w:val="002B52C3"/>
    <w:rsid w:val="002B7240"/>
    <w:rsid w:val="002C0A3E"/>
    <w:rsid w:val="002E27D1"/>
    <w:rsid w:val="002E2AAF"/>
    <w:rsid w:val="002F06EC"/>
    <w:rsid w:val="002F69E6"/>
    <w:rsid w:val="00317E79"/>
    <w:rsid w:val="0034110C"/>
    <w:rsid w:val="00355AAF"/>
    <w:rsid w:val="003562F5"/>
    <w:rsid w:val="003672A9"/>
    <w:rsid w:val="00373BC4"/>
    <w:rsid w:val="003A1DCA"/>
    <w:rsid w:val="003A1EE9"/>
    <w:rsid w:val="003B0931"/>
    <w:rsid w:val="003B0D1D"/>
    <w:rsid w:val="003C2119"/>
    <w:rsid w:val="003C38E5"/>
    <w:rsid w:val="003D64A2"/>
    <w:rsid w:val="003E126B"/>
    <w:rsid w:val="003E5AB3"/>
    <w:rsid w:val="00417D33"/>
    <w:rsid w:val="00444E5D"/>
    <w:rsid w:val="00451833"/>
    <w:rsid w:val="00462E4B"/>
    <w:rsid w:val="0047577A"/>
    <w:rsid w:val="004945B4"/>
    <w:rsid w:val="004C16C1"/>
    <w:rsid w:val="00502A63"/>
    <w:rsid w:val="005463CB"/>
    <w:rsid w:val="005C17DF"/>
    <w:rsid w:val="006078D1"/>
    <w:rsid w:val="00615170"/>
    <w:rsid w:val="006339B0"/>
    <w:rsid w:val="00635633"/>
    <w:rsid w:val="00647BDC"/>
    <w:rsid w:val="00657F15"/>
    <w:rsid w:val="00664199"/>
    <w:rsid w:val="006A7FAE"/>
    <w:rsid w:val="006F293E"/>
    <w:rsid w:val="0076589E"/>
    <w:rsid w:val="00790005"/>
    <w:rsid w:val="00790B22"/>
    <w:rsid w:val="007A3933"/>
    <w:rsid w:val="007C65D8"/>
    <w:rsid w:val="007E425C"/>
    <w:rsid w:val="007F3B85"/>
    <w:rsid w:val="0080072E"/>
    <w:rsid w:val="00800AB7"/>
    <w:rsid w:val="00801A68"/>
    <w:rsid w:val="00820D07"/>
    <w:rsid w:val="0084607A"/>
    <w:rsid w:val="0089024A"/>
    <w:rsid w:val="008958AE"/>
    <w:rsid w:val="00896F2F"/>
    <w:rsid w:val="008A5354"/>
    <w:rsid w:val="008C0A23"/>
    <w:rsid w:val="008C3350"/>
    <w:rsid w:val="008C4FDE"/>
    <w:rsid w:val="008C5D8E"/>
    <w:rsid w:val="008E1512"/>
    <w:rsid w:val="00902B98"/>
    <w:rsid w:val="00920799"/>
    <w:rsid w:val="00920998"/>
    <w:rsid w:val="009313F2"/>
    <w:rsid w:val="009364CC"/>
    <w:rsid w:val="009461DA"/>
    <w:rsid w:val="00963A3C"/>
    <w:rsid w:val="00995814"/>
    <w:rsid w:val="009B332C"/>
    <w:rsid w:val="009E1B2E"/>
    <w:rsid w:val="009E2B30"/>
    <w:rsid w:val="00A20F31"/>
    <w:rsid w:val="00A244AA"/>
    <w:rsid w:val="00A34726"/>
    <w:rsid w:val="00A35283"/>
    <w:rsid w:val="00A63938"/>
    <w:rsid w:val="00A933E9"/>
    <w:rsid w:val="00B12255"/>
    <w:rsid w:val="00B65050"/>
    <w:rsid w:val="00B800D3"/>
    <w:rsid w:val="00BF5193"/>
    <w:rsid w:val="00BF7F37"/>
    <w:rsid w:val="00C35486"/>
    <w:rsid w:val="00CB0DD5"/>
    <w:rsid w:val="00CE4F07"/>
    <w:rsid w:val="00CF45D8"/>
    <w:rsid w:val="00D04AFB"/>
    <w:rsid w:val="00D2278F"/>
    <w:rsid w:val="00D33653"/>
    <w:rsid w:val="00D500F0"/>
    <w:rsid w:val="00E162F7"/>
    <w:rsid w:val="00E17374"/>
    <w:rsid w:val="00E21CD9"/>
    <w:rsid w:val="00E50753"/>
    <w:rsid w:val="00EE1FF5"/>
    <w:rsid w:val="00EF4399"/>
    <w:rsid w:val="00F050E9"/>
    <w:rsid w:val="00F328FD"/>
    <w:rsid w:val="00F45BAA"/>
    <w:rsid w:val="00F47500"/>
    <w:rsid w:val="00F679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44F3"/>
  <w15:chartTrackingRefBased/>
  <w15:docId w15:val="{2322522D-7447-4337-9B62-3B306FA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6B"/>
    <w:pPr>
      <w:spacing w:after="200" w:line="276" w:lineRule="auto"/>
      <w:jc w:val="both"/>
    </w:pPr>
    <w:rPr>
      <w:rFonts w:asciiTheme="majorHAnsi" w:hAnsiTheme="majorHAnsi"/>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3acf38-d2be-4014-825e-d6ed01b5494c">
      <Terms xmlns="http://schemas.microsoft.com/office/infopath/2007/PartnerControls"/>
    </lcf76f155ced4ddcb4097134ff3c332f>
    <TaxCatchAll xmlns="ec077765-5c2b-4e9e-90e4-a37fd495b5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6204EF2E306641B57C5110990112CD" ma:contentTypeVersion="19" ma:contentTypeDescription="Stvaranje novog dokumenta." ma:contentTypeScope="" ma:versionID="bfbf3b6f30cb7d07d224a0cb12a3154e">
  <xsd:schema xmlns:xsd="http://www.w3.org/2001/XMLSchema" xmlns:xs="http://www.w3.org/2001/XMLSchema" xmlns:p="http://schemas.microsoft.com/office/2006/metadata/properties" xmlns:ns2="953acf38-d2be-4014-825e-d6ed01b5494c" xmlns:ns3="ec077765-5c2b-4e9e-90e4-a37fd495b5b9" targetNamespace="http://schemas.microsoft.com/office/2006/metadata/properties" ma:root="true" ma:fieldsID="21f2b6e23a9372f8b69ac52e30fcf89f" ns2:_="" ns3:_="">
    <xsd:import namespace="953acf38-d2be-4014-825e-d6ed01b5494c"/>
    <xsd:import namespace="ec077765-5c2b-4e9e-90e4-a37fd495b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cf38-d2be-4014-825e-d6ed01b54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445defa2-6ae6-4354-9416-050040bcb1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77765-5c2b-4e9e-90e4-a37fd495b5b9"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5f08e38c-a300-4501-ad81-78e8c5544304}" ma:internalName="TaxCatchAll" ma:showField="CatchAllData" ma:web="ec077765-5c2b-4e9e-90e4-a37fd495b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7ABA4-9B1C-47F4-B674-912BBD7433B2}">
  <ds:schemaRefs>
    <ds:schemaRef ds:uri="http://schemas.microsoft.com/office/2006/metadata/properties"/>
    <ds:schemaRef ds:uri="http://schemas.microsoft.com/office/infopath/2007/PartnerControls"/>
    <ds:schemaRef ds:uri="953acf38-d2be-4014-825e-d6ed01b5494c"/>
    <ds:schemaRef ds:uri="ec077765-5c2b-4e9e-90e4-a37fd495b5b9"/>
  </ds:schemaRefs>
</ds:datastoreItem>
</file>

<file path=customXml/itemProps2.xml><?xml version="1.0" encoding="utf-8"?>
<ds:datastoreItem xmlns:ds="http://schemas.openxmlformats.org/officeDocument/2006/customXml" ds:itemID="{BABB7387-D302-45DC-9BC8-9F33A3B2CFF3}">
  <ds:schemaRefs>
    <ds:schemaRef ds:uri="http://schemas.microsoft.com/sharepoint/v3/contenttype/forms"/>
  </ds:schemaRefs>
</ds:datastoreItem>
</file>

<file path=customXml/itemProps3.xml><?xml version="1.0" encoding="utf-8"?>
<ds:datastoreItem xmlns:ds="http://schemas.openxmlformats.org/officeDocument/2006/customXml" ds:itemID="{525176D6-449A-4A40-90AF-52E04D378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cf38-d2be-4014-825e-d6ed01b5494c"/>
    <ds:schemaRef ds:uri="ec077765-5c2b-4e9e-90e4-a37fd495b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Beljan</dc:creator>
  <cp:keywords/>
  <dc:description/>
  <cp:lastModifiedBy>Tajnica</cp:lastModifiedBy>
  <cp:revision>2</cp:revision>
  <dcterms:created xsi:type="dcterms:W3CDTF">2025-06-04T11:50:00Z</dcterms:created>
  <dcterms:modified xsi:type="dcterms:W3CDTF">2025-06-04T11:50:00Z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0x010100476204EF2E306641B57C5110990112CD</vt:lpwstr>
  </property>
  <property fmtid="{D5CDD505-2E9C-101B-9397-08002B2CF9AE}" pid="3" name="MediaServiceImageTags">
    <vt:lpwstr/>
  </property>
</Properties>
</file>