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2FE" w:rsidRPr="009C6A3D" w:rsidRDefault="006A12FE" w:rsidP="006A12FE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C6A3D">
        <w:rPr>
          <w:rFonts w:asciiTheme="minorHAnsi" w:hAnsiTheme="minorHAnsi" w:cstheme="minorHAnsi"/>
          <w:b/>
          <w:bCs/>
          <w:color w:val="002060"/>
          <w:sz w:val="22"/>
          <w:szCs w:val="22"/>
        </w:rPr>
        <w:t>Poštovani građani,</w:t>
      </w:r>
    </w:p>
    <w:p w:rsidR="00402262" w:rsidRPr="009C6A3D" w:rsidRDefault="00402262" w:rsidP="00402262">
      <w:pPr>
        <w:pStyle w:val="Tijeloteksta"/>
        <w:spacing w:before="5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:rsidR="00402262" w:rsidRPr="009C6A3D" w:rsidRDefault="009C6A3D" w:rsidP="008D0779">
      <w:pPr>
        <w:jc w:val="both"/>
        <w:rPr>
          <w:rFonts w:cstheme="minorHAnsi"/>
          <w:color w:val="002060"/>
        </w:rPr>
      </w:pPr>
      <w:r w:rsidRPr="009C6A3D">
        <w:rPr>
          <w:rFonts w:cstheme="minorHAnsi"/>
          <w:color w:val="002060"/>
        </w:rPr>
        <w:t xml:space="preserve">Temeljem članka 9. stavak 10. Zakon o grobljima („Narodne novine“ br. 78/25. i 80/25.) i članka 41. Statuta Općine </w:t>
      </w:r>
      <w:proofErr w:type="spellStart"/>
      <w:r w:rsidRPr="009C6A3D">
        <w:rPr>
          <w:rFonts w:cstheme="minorHAnsi"/>
          <w:color w:val="002060"/>
        </w:rPr>
        <w:t>Đulovac</w:t>
      </w:r>
      <w:proofErr w:type="spellEnd"/>
      <w:r w:rsidRPr="009C6A3D">
        <w:rPr>
          <w:rFonts w:cstheme="minorHAnsi"/>
          <w:color w:val="002060"/>
        </w:rPr>
        <w:t xml:space="preserve">  ( „Službeni glasnik Općine </w:t>
      </w:r>
      <w:proofErr w:type="spellStart"/>
      <w:r w:rsidRPr="009C6A3D">
        <w:rPr>
          <w:rFonts w:cstheme="minorHAnsi"/>
          <w:color w:val="002060"/>
        </w:rPr>
        <w:t>Đulovac</w:t>
      </w:r>
      <w:proofErr w:type="spellEnd"/>
      <w:r w:rsidRPr="009C6A3D">
        <w:rPr>
          <w:rFonts w:cstheme="minorHAnsi"/>
          <w:color w:val="002060"/>
        </w:rPr>
        <w:t xml:space="preserve"> br.2/2021 i 8/2022-statutarna odluka o izmjeni i dopuni Statuta Općine </w:t>
      </w:r>
      <w:proofErr w:type="spellStart"/>
      <w:r w:rsidRPr="009C6A3D">
        <w:rPr>
          <w:rFonts w:cstheme="minorHAnsi"/>
          <w:color w:val="002060"/>
        </w:rPr>
        <w:t>Đulovac</w:t>
      </w:r>
      <w:proofErr w:type="spellEnd"/>
      <w:r w:rsidRPr="009C6A3D">
        <w:rPr>
          <w:rFonts w:cstheme="minorHAnsi"/>
          <w:color w:val="002060"/>
        </w:rPr>
        <w:t xml:space="preserve">, Općinsko vijeće Općine </w:t>
      </w:r>
      <w:proofErr w:type="spellStart"/>
      <w:r w:rsidRPr="009C6A3D">
        <w:rPr>
          <w:rFonts w:cstheme="minorHAnsi"/>
          <w:color w:val="002060"/>
        </w:rPr>
        <w:t>Đulovac</w:t>
      </w:r>
      <w:proofErr w:type="spellEnd"/>
      <w:r w:rsidRPr="009C6A3D">
        <w:rPr>
          <w:rFonts w:cstheme="minorHAnsi"/>
          <w:color w:val="002060"/>
        </w:rPr>
        <w:t xml:space="preserve">  </w:t>
      </w:r>
      <w:r w:rsidR="006A12FE" w:rsidRPr="009C6A3D">
        <w:rPr>
          <w:rFonts w:cstheme="minorHAnsi"/>
          <w:color w:val="002060"/>
        </w:rPr>
        <w:t xml:space="preserve">Općinsko vijeće Općine </w:t>
      </w:r>
      <w:proofErr w:type="spellStart"/>
      <w:r w:rsidR="006A12FE" w:rsidRPr="009C6A3D">
        <w:rPr>
          <w:rFonts w:cstheme="minorHAnsi"/>
          <w:color w:val="002060"/>
        </w:rPr>
        <w:t>Đulovac</w:t>
      </w:r>
      <w:proofErr w:type="spellEnd"/>
      <w:r w:rsidR="006A12FE" w:rsidRPr="009C6A3D">
        <w:rPr>
          <w:rFonts w:cstheme="minorHAnsi"/>
          <w:color w:val="002060"/>
        </w:rPr>
        <w:t xml:space="preserve"> planira donijeti</w:t>
      </w:r>
      <w:r w:rsidR="00402262" w:rsidRPr="009C6A3D">
        <w:rPr>
          <w:rFonts w:cstheme="minorHAnsi"/>
          <w:color w:val="002060"/>
        </w:rPr>
        <w:t xml:space="preserve"> novu </w:t>
      </w:r>
      <w:r w:rsidR="008D0779" w:rsidRPr="009C6A3D">
        <w:rPr>
          <w:rFonts w:cstheme="minorHAnsi"/>
          <w:color w:val="002060"/>
        </w:rPr>
        <w:t xml:space="preserve"> Odluku </w:t>
      </w:r>
      <w:r w:rsidR="006A12FE" w:rsidRPr="009C6A3D">
        <w:rPr>
          <w:rFonts w:cstheme="minorHAnsi"/>
          <w:color w:val="002060"/>
        </w:rPr>
        <w:t xml:space="preserve"> </w:t>
      </w:r>
      <w:r w:rsidRPr="009C6A3D">
        <w:rPr>
          <w:rFonts w:cstheme="minorHAnsi"/>
          <w:color w:val="002060"/>
        </w:rPr>
        <w:t>o grobljima</w:t>
      </w:r>
      <w:r w:rsidR="00402262" w:rsidRPr="009C6A3D">
        <w:rPr>
          <w:rFonts w:cstheme="minorHAnsi"/>
          <w:color w:val="002060"/>
        </w:rPr>
        <w:t>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U Nar. nov., br. 78/25 od 9. svibnja 2025. objavljen je novi Zakon o grobljima (u nastavku: Zakon), koji stupa na snagu 17. svibnja 2025. godine. U Nar. nov., br. 80/25 od 16. svibnja 2025. objavljen je Ispravak Zakona o grobljima.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Danom stupanja na snagu ovoga Zakona prestaje važiti Zakon o grobljima (Nar. nov., br. 19/98., 50/12. i 89/17.).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Novim Zakonom ne mijenjaju se osnovne postavke upravljanja grobljima. Groblja su bila i jesu vlasništvo jedinice lokalne samouprave, a njima upravlja jedinica lokalne samouprave ili trgovačko društvo ili ustanova kojoj je osnivač jedinica lokalne samouprave. Međutim, ujednačit će se postupanje svih upravitelja groblja čime se povećava i pravna sigurnost korisnika groblja. Ujedno se jasno propisuje postupak dodjele i gubitka prava na korištenje grobnog mjesta čime se također povećava pravna sigurnost.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Novim Zakonom propisuje se da jedan dio grobnih očevidnika mora biti javan kako bi građani bili upoznati s brojem slobodnih grobnih mjesta i korisnicima postojećih, a sve s ciljem povećavanja transparentnosti i olakšavanja građanima da dođu do grobnog mjesta.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Uklonit će se spomenici koji vrijeđaju vjerske, moralne ili nacionalne osjećaje, ili veličaju agresorsku vojsku u Domovinskom ratu. Ako sam korisnik grobnog mjesta to ne učini u zakonskom roku, uklanjanje bi se izvršilo putem trećih osoba. Spornim se mogu smatrati samo spomenici podignuti nakon 30. svibnja 1990. godine. U roku od 30 dana od dana stupanja Zakona na snagu bi se sva postojeća oprema i uređaji grobnog mjesta i spomen-obilježja koji nisu u skladu s odredbama ovoga Zakona morali ukloniti. U suprotnom, korisnicima prijete prekršajne sankcije.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Nadzor nad provedbom ovoga Zakona obavlja Ministarstvo prostornoga uređenja, graditeljstva i državne imovine.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Predmetnim Zakonom uređuju se sljedeća pitanja: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poštujući samostalnost jedinica lokalne i područne (regionalne) samouprave, ujednačava se postupanje i pravna sigurnost građana;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osnovne postavke upravljanja grobljima se ne bi mijenjale, groblja su bila i jesu vlasništvo JLS-a, a njima upravlja JLS ili trgovačko društvo ili ustanova kojoj je osnivač JLS;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prvi put se zakonom uređuje status memorijalnih groblja za poginule branitelje;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jasno se propisuju prava i obveze JLS-a, upravitelja groblja, ali i korisnika groblja;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jednoobrazno se propisuje razdoblje između dva ukopa na isto grobno mjesto, i to 10 godina za grob, a 20 godina za grobnicu, pod dodatnim uvjetom da su se ostvarili i drugi uvjeti (da se tijelo u dovoljnoj mjeri razgradilo), a to se odnosi na grobna mjesta u kojima je tehnički moguće sahraniti tijelo umrle osobu bez da se otvara grob u mirovanju;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kraće razdoblje za mogućnost premještanja groblja ako je to potrebno (30 godina, do sada 100 godina), a ako je potrebno radi izgradnje građevine ili izvođenja radova u interesu Republike Hrvatske, groblje se može premjestiti za 10 godina;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lastRenderedPageBreak/>
        <w:t>•</w:t>
      </w:r>
      <w:r w:rsidRPr="009C6A3D">
        <w:rPr>
          <w:rFonts w:cstheme="minorHAnsi"/>
          <w:color w:val="002060"/>
          <w:lang w:bidi="hr-HR"/>
        </w:rPr>
        <w:tab/>
        <w:t>uređuje se kremiranje i prosipanje pepela, JLS-ovi će moći propisati gdje je na području JLS-a dozvoljeno prosipati pepeo;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detaljno se propisuju grobni očevidnici i registri umrlih koje će morati imati svako groblje i koji će biti dostupni javnosti, a djelomično i javno objavljeni;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propisuju se obveze korisnika grobnog mjesta, od kojih su najvažnije održavati urednim i sigurnim grobno mjesto te plaćati grobnu naknadu za održavanje groblja;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propisuje se i postupak dodjele grobnih mjesta, ali i postupak u kojem se utvrđuje gubitak prava korištenja grobnog mjesta ako se grobna naknada ne plaća što je dosad bilo neujednačeno i nije bilo predviđeno kao upravni postupak pa korisnici groblja nisu imali pravnu zaštitu;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jasno se propisuje načine ustupanja prava korištenja grobnog mjesta i obveze javnih bilježnika da prijavi ustup ili nasljeđivanje prava korištenja grobnog mjesta;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ugrađuje se učinkovit mehanizam za provedbu nadzora i uklanjanje spomenika koji su, ne samo protuzakoniti, nego su i protivni Ustavu te svakodnevno izazivaju nove podjele u hrvatskom društvu. Također, ideja je uvesti učinkovit mehanizam za uklanjanje takvih spomenika;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•</w:t>
      </w:r>
      <w:r w:rsidRPr="009C6A3D">
        <w:rPr>
          <w:rFonts w:cstheme="minorHAnsi"/>
          <w:color w:val="002060"/>
          <w:lang w:bidi="hr-HR"/>
        </w:rPr>
        <w:tab/>
        <w:t>uvode se stalna Povjerenstva na razini županija koja bi, ako je to potrebno, davala mišljenje o prikladnosti spornih spomenika.</w:t>
      </w:r>
    </w:p>
    <w:p w:rsidR="009C6A3D" w:rsidRPr="009C6A3D" w:rsidRDefault="009C6A3D" w:rsidP="009C6A3D">
      <w:pPr>
        <w:pStyle w:val="Bezproreda"/>
        <w:rPr>
          <w:rFonts w:cstheme="minorHAnsi"/>
          <w:color w:val="002060"/>
          <w:lang w:bidi="hr-HR"/>
        </w:rPr>
      </w:pPr>
      <w:r w:rsidRPr="009C6A3D">
        <w:rPr>
          <w:rFonts w:cstheme="minorHAnsi"/>
          <w:color w:val="002060"/>
          <w:lang w:bidi="hr-HR"/>
        </w:rPr>
        <w:t>Predstavničko tijelo jedinice lokalne samouprave dužno je u roku od godine dana od dana stupanja na snagu ovoga Zakona donijeti odluku iz čl. 9. st. 10. Zakona.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Upravitelj groblja dužan je u roku od 60 od dana stupanja na snagu Zakona uskladiti svoje poslovanje s odredbama ovoga Zakona, a u roku od 30 dana od dana stupanja Zakona na snagu donijeti odluku o ponašanju na groblju iz čl. 11. st. 3. Zakona te je izložiti na vidljivu mjestu, a osobito na svakom ulazu u groblje</w:t>
      </w: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.</w:t>
      </w:r>
    </w:p>
    <w:p w:rsidR="009C6A3D" w:rsidRPr="009C6A3D" w:rsidRDefault="009C6A3D" w:rsidP="009C6A3D">
      <w:pPr>
        <w:pStyle w:val="StandardWeb"/>
        <w:shd w:val="clear" w:color="auto" w:fill="FFFFFF"/>
        <w:spacing w:after="150"/>
        <w:jc w:val="both"/>
        <w:rPr>
          <w:rFonts w:asciiTheme="minorHAnsi" w:hAnsiTheme="minorHAnsi" w:cstheme="minorHAnsi"/>
          <w:color w:val="002060"/>
          <w:sz w:val="22"/>
          <w:szCs w:val="22"/>
          <w:lang w:bidi="hr-HR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  <w:lang w:bidi="hr-HR"/>
        </w:rPr>
        <w:t>Upravitelj groblja za koje ne postoje nikakvi podaci odnosno evidencije dužan je ustrojiti grobni očevidnik i registar umrlih osoba za ta groblja sukladno čl. 29. Zakona u roku od 90 dana.</w:t>
      </w:r>
    </w:p>
    <w:p w:rsidR="006A12FE" w:rsidRPr="009C6A3D" w:rsidRDefault="006A12FE" w:rsidP="006A12FE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C6A3D">
        <w:rPr>
          <w:rFonts w:asciiTheme="minorHAnsi" w:hAnsiTheme="minorHAnsi" w:cstheme="minorHAnsi"/>
          <w:color w:val="002060"/>
          <w:sz w:val="22"/>
          <w:szCs w:val="22"/>
        </w:rPr>
        <w:t>U skladu s odredbama članka 11. Zakona o pravu na pristup informacijama („Narodne novine" br. 25/13 i 85/15) Općina Đulovac, pri donošenju Odluke, provodi  savjetovanje sa zainteresiranom javnošću s ciljem upoznavanja javnošću s Nacrtom prijedloga Odluke i pribavljanjem  mišljenja, primjedbi i prijedloga zainteresirane javnosti, kako bi isti, ukoliko  su zakonito i stručno utemeljeni, bilo prihvaćeni i u konačnosti ugrađeni u odredbe Odluke.</w:t>
      </w:r>
    </w:p>
    <w:p w:rsidR="005367DA" w:rsidRPr="009C6A3D" w:rsidRDefault="005367DA">
      <w:pPr>
        <w:rPr>
          <w:rFonts w:cstheme="minorHAnsi"/>
          <w:color w:val="002060"/>
        </w:rPr>
      </w:pPr>
    </w:p>
    <w:sectPr w:rsidR="005367DA" w:rsidRPr="009C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FE"/>
    <w:rsid w:val="00252E56"/>
    <w:rsid w:val="00386E7A"/>
    <w:rsid w:val="00402262"/>
    <w:rsid w:val="004A29F9"/>
    <w:rsid w:val="005367DA"/>
    <w:rsid w:val="006A12FE"/>
    <w:rsid w:val="007F5746"/>
    <w:rsid w:val="008D0779"/>
    <w:rsid w:val="009C6A3D"/>
    <w:rsid w:val="00C5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CE3D"/>
  <w15:chartTrackingRefBased/>
  <w15:docId w15:val="{45EFC246-1DF3-4430-8C19-3A5BAFE8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A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4022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02262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Bezproreda">
    <w:name w:val="No Spacing"/>
    <w:uiPriority w:val="1"/>
    <w:qFormat/>
    <w:rsid w:val="00386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Kastmilr</dc:creator>
  <cp:keywords/>
  <dc:description/>
  <cp:lastModifiedBy>opcina djulovac</cp:lastModifiedBy>
  <cp:revision>3</cp:revision>
  <dcterms:created xsi:type="dcterms:W3CDTF">2026-02-17T09:10:00Z</dcterms:created>
  <dcterms:modified xsi:type="dcterms:W3CDTF">2026-02-17T10:01:00Z</dcterms:modified>
</cp:coreProperties>
</file>