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3788" w14:textId="77777777" w:rsidR="00946F1A" w:rsidRPr="00545616" w:rsidRDefault="00946F1A" w:rsidP="00520915">
      <w:pPr>
        <w:spacing w:after="0"/>
        <w:rPr>
          <w:rFonts w:cstheme="minorHAnsi"/>
        </w:rPr>
      </w:pPr>
    </w:p>
    <w:tbl>
      <w:tblPr>
        <w:tblStyle w:val="TableGrid"/>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633A05B5"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7A7125" w:rsidRPr="007A7125">
              <w:rPr>
                <w:rFonts w:cstheme="minorHAnsi"/>
                <w:b/>
                <w:bCs/>
                <w:color w:val="1F497D" w:themeColor="text2"/>
              </w:rPr>
              <w:t>Odluka o izmjenama i dopunama Odluke o načinu pružanja javne usluge sakupljanja komunalnog otpada na području Općine Dobrinj</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239F0A73" w14:textId="77777777" w:rsidR="007A7125" w:rsidRPr="007A7125" w:rsidRDefault="00946F1A" w:rsidP="007A712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7A7125" w:rsidRPr="007A7125">
              <w:rPr>
                <w:rFonts w:cstheme="minorHAnsi"/>
                <w:b/>
                <w:color w:val="1F497D" w:themeColor="text2"/>
              </w:rPr>
              <w:t>12.01.2024 - 11.02.2024</w:t>
            </w:r>
          </w:p>
          <w:p w14:paraId="29FB5B7A" w14:textId="77777777" w:rsidR="00E14DF4" w:rsidRPr="00C112F5" w:rsidRDefault="00E14DF4" w:rsidP="007A7125">
            <w:pPr>
              <w:rPr>
                <w:rFonts w:cstheme="minorHAnsi"/>
                <w:b/>
                <w:color w:val="1F497D" w:themeColor="text2"/>
              </w:rPr>
            </w:pPr>
          </w:p>
        </w:tc>
      </w:tr>
      <w:tr w:rsidR="00546335" w:rsidRPr="00545616" w14:paraId="2C8CA2B0" w14:textId="77777777" w:rsidTr="00C112F5">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528"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8"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5103"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C112F5">
        <w:tc>
          <w:tcPr>
            <w:tcW w:w="1702" w:type="dxa"/>
            <w:shd w:val="clear" w:color="auto" w:fill="auto"/>
          </w:tcPr>
          <w:p w14:paraId="2A49F86E" w14:textId="27B6DCE9" w:rsidR="00946F1A" w:rsidRPr="00545616" w:rsidRDefault="007A7125" w:rsidP="007A7125">
            <w:pPr>
              <w:jc w:val="both"/>
              <w:rPr>
                <w:rFonts w:cstheme="minorHAnsi"/>
                <w:color w:val="808080" w:themeColor="background1" w:themeShade="80"/>
              </w:rPr>
            </w:pPr>
            <w:r w:rsidRPr="007A7125">
              <w:rPr>
                <w:rFonts w:cstheme="minorHAnsi"/>
                <w:color w:val="808080" w:themeColor="background1" w:themeShade="80"/>
              </w:rPr>
              <w:t xml:space="preserve">Dubravka Dijanić </w:t>
            </w:r>
          </w:p>
        </w:tc>
        <w:tc>
          <w:tcPr>
            <w:tcW w:w="5528" w:type="dxa"/>
          </w:tcPr>
          <w:p w14:paraId="5D11514A" w14:textId="77777777" w:rsidR="000D0110" w:rsidRPr="000D0110" w:rsidRDefault="000D0110" w:rsidP="000D0110">
            <w:pPr>
              <w:jc w:val="both"/>
              <w:rPr>
                <w:rFonts w:cstheme="minorHAnsi"/>
                <w:color w:val="808080" w:themeColor="background1" w:themeShade="80"/>
              </w:rPr>
            </w:pPr>
            <w:r w:rsidRPr="000D0110">
              <w:rPr>
                <w:rFonts w:cstheme="minorHAnsi"/>
                <w:color w:val="808080" w:themeColor="background1" w:themeShade="80"/>
              </w:rPr>
              <w:t>Primjedba 1.</w:t>
            </w:r>
          </w:p>
          <w:p w14:paraId="72CC5A2A" w14:textId="7C68642A" w:rsidR="00946F1A" w:rsidRPr="00545616" w:rsidRDefault="000D0110" w:rsidP="000D0110">
            <w:pPr>
              <w:jc w:val="both"/>
              <w:rPr>
                <w:rFonts w:cstheme="minorHAnsi"/>
                <w:color w:val="808080" w:themeColor="background1" w:themeShade="80"/>
              </w:rPr>
            </w:pPr>
            <w:r w:rsidRPr="000D0110">
              <w:rPr>
                <w:rFonts w:cstheme="minorHAnsi"/>
                <w:color w:val="808080" w:themeColor="background1" w:themeShade="80"/>
              </w:rPr>
              <w:t>savjetovanje nije bilo objavljeno 12.01.2024. kao što je navedeno nego barem tjedan dana kasnije. Sukladno članku 66. Zakona o gospodarenju otpadom, o odluci je potrebno provesti savjetovanje s javnošću u trajanju od najmanje 30 dana. Sukladno Zakonu o pravu na pristup informacijama, savjetovanja traju u pravilu 30 dana, osim iznimno. Iz navedenog proizlazi da ukoliko ovo savjetovanje završava s 11.02.2024. ne provodi se sukladno Zakonu o gospodarenju otpadom i Zakonu o pravu na pristup informacijama.</w:t>
            </w:r>
          </w:p>
        </w:tc>
        <w:tc>
          <w:tcPr>
            <w:tcW w:w="1276" w:type="dxa"/>
          </w:tcPr>
          <w:p w14:paraId="24AC0508" w14:textId="6AEC64D0" w:rsidR="00F922FD" w:rsidRPr="00545616" w:rsidRDefault="007A7125">
            <w:pPr>
              <w:rPr>
                <w:rFonts w:cstheme="minorHAnsi"/>
                <w:color w:val="808080" w:themeColor="background1" w:themeShade="80"/>
              </w:rPr>
            </w:pPr>
            <w:r w:rsidRPr="007A7125">
              <w:rPr>
                <w:rFonts w:cstheme="minorHAnsi"/>
                <w:color w:val="808080" w:themeColor="background1" w:themeShade="80"/>
              </w:rPr>
              <w:t>11.02.2024 23:15</w:t>
            </w:r>
          </w:p>
        </w:tc>
        <w:tc>
          <w:tcPr>
            <w:tcW w:w="1418" w:type="dxa"/>
          </w:tcPr>
          <w:p w14:paraId="7649BC79" w14:textId="77777777" w:rsidR="00184E7F" w:rsidRPr="006B3ED2" w:rsidRDefault="00184E7F" w:rsidP="00184E7F">
            <w:pPr>
              <w:rPr>
                <w:rFonts w:ascii="Arial" w:hAnsi="Arial" w:cs="Arial"/>
                <w:sz w:val="20"/>
                <w:szCs w:val="20"/>
              </w:rPr>
            </w:pPr>
            <w:r w:rsidRPr="00630B97">
              <w:rPr>
                <w:rFonts w:ascii="Arial" w:hAnsi="Arial" w:cs="Arial"/>
                <w:color w:val="808080" w:themeColor="background1" w:themeShade="80"/>
                <w:sz w:val="20"/>
                <w:szCs w:val="20"/>
              </w:rPr>
              <w:t>-</w:t>
            </w:r>
            <w:r w:rsidRPr="006B3ED2">
              <w:rPr>
                <w:rFonts w:ascii="Arial" w:hAnsi="Arial" w:cs="Arial"/>
                <w:sz w:val="20"/>
                <w:szCs w:val="20"/>
              </w:rPr>
              <w:t>Primljeno na znanje</w:t>
            </w:r>
          </w:p>
          <w:p w14:paraId="5AF36E0B" w14:textId="22AB9403" w:rsidR="00365B59" w:rsidRPr="00E91D4F" w:rsidRDefault="00365B59" w:rsidP="00184E7F">
            <w:pPr>
              <w:rPr>
                <w:rFonts w:cstheme="minorHAnsi"/>
                <w:color w:val="808080" w:themeColor="background1" w:themeShade="80"/>
              </w:rPr>
            </w:pPr>
          </w:p>
        </w:tc>
        <w:tc>
          <w:tcPr>
            <w:tcW w:w="5103" w:type="dxa"/>
          </w:tcPr>
          <w:p w14:paraId="73422D2B" w14:textId="06A30F40" w:rsidR="00946F1A" w:rsidRPr="006B3ED2" w:rsidRDefault="006B3ED2" w:rsidP="00F922FD">
            <w:pPr>
              <w:spacing w:beforeLines="40" w:before="96" w:afterLines="40" w:after="96"/>
              <w:jc w:val="both"/>
              <w:rPr>
                <w:rFonts w:cstheme="minorHAnsi"/>
              </w:rPr>
            </w:pPr>
            <w:r>
              <w:rPr>
                <w:rFonts w:cstheme="minorHAnsi"/>
              </w:rPr>
              <w:t xml:space="preserve">Prima se na znanje </w:t>
            </w:r>
            <w:r w:rsidRPr="006B3ED2">
              <w:rPr>
                <w:rFonts w:cstheme="minorHAnsi"/>
              </w:rPr>
              <w:t xml:space="preserve">primjedba </w:t>
            </w:r>
            <w:r>
              <w:rPr>
                <w:rFonts w:cstheme="minorHAnsi"/>
              </w:rPr>
              <w:t>te će se  savjetovanje po predmetnoj odluci ponovno otvoriti. Moguće je da savjetovanje nije bilo na vrijeme vidljivo iz administrativnih razloga.</w:t>
            </w:r>
          </w:p>
          <w:p w14:paraId="47D17C94" w14:textId="5E2C141C" w:rsidR="00B8773B" w:rsidRPr="006B3ED2" w:rsidRDefault="00B8773B" w:rsidP="00F922FD">
            <w:pPr>
              <w:spacing w:beforeLines="40" w:before="96" w:afterLines="40" w:after="96"/>
              <w:jc w:val="both"/>
              <w:rPr>
                <w:rFonts w:cstheme="minorHAnsi"/>
              </w:rPr>
            </w:pPr>
          </w:p>
        </w:tc>
      </w:tr>
      <w:tr w:rsidR="007E733F" w:rsidRPr="00545616" w14:paraId="3500C544" w14:textId="77777777" w:rsidTr="00C112F5">
        <w:tc>
          <w:tcPr>
            <w:tcW w:w="1702" w:type="dxa"/>
            <w:shd w:val="clear" w:color="auto" w:fill="auto"/>
          </w:tcPr>
          <w:p w14:paraId="14400C99" w14:textId="4EF70921" w:rsidR="007E733F" w:rsidRPr="007A7125" w:rsidRDefault="007E733F" w:rsidP="007E733F">
            <w:pPr>
              <w:jc w:val="both"/>
              <w:rPr>
                <w:rFonts w:cstheme="minorHAnsi"/>
                <w:color w:val="808080" w:themeColor="background1" w:themeShade="80"/>
              </w:rPr>
            </w:pPr>
            <w:r w:rsidRPr="007A7125">
              <w:rPr>
                <w:rFonts w:cstheme="minorHAnsi"/>
                <w:color w:val="808080" w:themeColor="background1" w:themeShade="80"/>
              </w:rPr>
              <w:t>Dubravka Dijanić</w:t>
            </w:r>
          </w:p>
        </w:tc>
        <w:tc>
          <w:tcPr>
            <w:tcW w:w="5528" w:type="dxa"/>
          </w:tcPr>
          <w:p w14:paraId="4A0E1C4D" w14:textId="77777777" w:rsidR="007E733F" w:rsidRPr="000D0110" w:rsidRDefault="007E733F" w:rsidP="007E733F">
            <w:pPr>
              <w:jc w:val="both"/>
              <w:rPr>
                <w:rFonts w:cstheme="minorHAnsi"/>
                <w:color w:val="808080" w:themeColor="background1" w:themeShade="80"/>
              </w:rPr>
            </w:pPr>
            <w:r w:rsidRPr="000D0110">
              <w:rPr>
                <w:rFonts w:cstheme="minorHAnsi"/>
                <w:color w:val="808080" w:themeColor="background1" w:themeShade="80"/>
              </w:rPr>
              <w:t>2. Primjedba:</w:t>
            </w:r>
          </w:p>
          <w:p w14:paraId="1A6085C6" w14:textId="77777777" w:rsidR="007E733F" w:rsidRPr="000D0110" w:rsidRDefault="007E733F" w:rsidP="007E733F">
            <w:pPr>
              <w:jc w:val="both"/>
              <w:rPr>
                <w:rFonts w:cstheme="minorHAnsi"/>
                <w:color w:val="808080" w:themeColor="background1" w:themeShade="80"/>
              </w:rPr>
            </w:pPr>
            <w:r w:rsidRPr="000D0110">
              <w:rPr>
                <w:rFonts w:cstheme="minorHAnsi"/>
                <w:color w:val="808080" w:themeColor="background1" w:themeShade="80"/>
              </w:rPr>
              <w:t>Provođenje ovog savjetovanja nije sukladno ni članku 11. Zakona o pravu na pristup informacijama kojim je propisano da se uz nacrt općeg akta mora objaviti i obrazloženje te sastav radne skupine koja je izradila nacrt akta. Objavljen je jedino nacrt odluke.</w:t>
            </w:r>
          </w:p>
          <w:p w14:paraId="2BFF2D26" w14:textId="77777777" w:rsidR="007E733F" w:rsidRDefault="007E733F" w:rsidP="007E733F">
            <w:pPr>
              <w:jc w:val="both"/>
              <w:rPr>
                <w:rFonts w:cstheme="minorHAnsi"/>
                <w:color w:val="808080" w:themeColor="background1" w:themeShade="80"/>
              </w:rPr>
            </w:pPr>
            <w:r w:rsidRPr="000D0110">
              <w:rPr>
                <w:rFonts w:cstheme="minorHAnsi"/>
                <w:color w:val="808080" w:themeColor="background1" w:themeShade="80"/>
              </w:rPr>
              <w:t>Vidljivo je da je i ovaj nacrt odluke izradio sam davatelj javne usluge Ponikve eko otok Krk d.o.o. kako bi kroz odluku Općinskog vijeća pokušao legalizirati svoj način rada koji u nekim dijelovima nije sukladan zakonu.</w:t>
            </w:r>
          </w:p>
          <w:p w14:paraId="734339A7" w14:textId="77777777" w:rsidR="007E733F" w:rsidRPr="00232F74" w:rsidRDefault="007E733F" w:rsidP="007E733F">
            <w:pPr>
              <w:jc w:val="both"/>
              <w:rPr>
                <w:rFonts w:cstheme="minorHAnsi"/>
                <w:color w:val="808080" w:themeColor="background1" w:themeShade="80"/>
              </w:rPr>
            </w:pPr>
            <w:r w:rsidRPr="00232F74">
              <w:rPr>
                <w:rFonts w:cstheme="minorHAnsi"/>
                <w:color w:val="808080" w:themeColor="background1" w:themeShade="80"/>
              </w:rPr>
              <w:t>3. Prijedlog:</w:t>
            </w:r>
          </w:p>
          <w:p w14:paraId="7507BAE5" w14:textId="77777777" w:rsidR="007E733F" w:rsidRPr="00232F74" w:rsidRDefault="007E733F" w:rsidP="007E733F">
            <w:pPr>
              <w:jc w:val="both"/>
              <w:rPr>
                <w:rFonts w:cstheme="minorHAnsi"/>
                <w:color w:val="808080" w:themeColor="background1" w:themeShade="80"/>
              </w:rPr>
            </w:pPr>
            <w:r w:rsidRPr="00232F74">
              <w:rPr>
                <w:rFonts w:cstheme="minorHAnsi"/>
                <w:color w:val="808080" w:themeColor="background1" w:themeShade="80"/>
              </w:rPr>
              <w:t>Molim da se savjetovanje provede sukladno zakonu odnosno da se ili ponovi u trajanju od 30 dana ili postojeće produži tako da njegovo trajanje bude barem 30 dana od stvarnog dana objave, te da se objave obrazloženje i sastav radne skupine koja je izradila nacrt Odluke.</w:t>
            </w:r>
          </w:p>
          <w:p w14:paraId="78300BF7" w14:textId="4499CD84" w:rsidR="007E733F" w:rsidRPr="000D0110" w:rsidRDefault="007E733F" w:rsidP="007E733F">
            <w:pPr>
              <w:jc w:val="both"/>
              <w:rPr>
                <w:rFonts w:cstheme="minorHAnsi"/>
                <w:color w:val="808080" w:themeColor="background1" w:themeShade="80"/>
              </w:rPr>
            </w:pPr>
            <w:r w:rsidRPr="00232F74">
              <w:rPr>
                <w:rFonts w:cstheme="minorHAnsi"/>
                <w:color w:val="808080" w:themeColor="background1" w:themeShade="80"/>
              </w:rPr>
              <w:lastRenderedPageBreak/>
              <w:t>S obzirom da je riječ o izmjenama i dopunama postojećeg akta, u dokumentima savjetovanja trebalo bi objaviti i postojeći akt koji se mijenja.</w:t>
            </w:r>
          </w:p>
        </w:tc>
        <w:tc>
          <w:tcPr>
            <w:tcW w:w="1276" w:type="dxa"/>
          </w:tcPr>
          <w:p w14:paraId="66480062" w14:textId="33D72A95" w:rsidR="007E733F" w:rsidRPr="007A7125" w:rsidRDefault="007E733F" w:rsidP="007E733F">
            <w:pPr>
              <w:rPr>
                <w:rFonts w:cstheme="minorHAnsi"/>
                <w:color w:val="808080" w:themeColor="background1" w:themeShade="80"/>
              </w:rPr>
            </w:pPr>
            <w:r w:rsidRPr="00232F74">
              <w:rPr>
                <w:rFonts w:cstheme="minorHAnsi"/>
                <w:color w:val="808080" w:themeColor="background1" w:themeShade="80"/>
              </w:rPr>
              <w:lastRenderedPageBreak/>
              <w:t>11.02.2024 23:45</w:t>
            </w:r>
          </w:p>
        </w:tc>
        <w:tc>
          <w:tcPr>
            <w:tcW w:w="1418" w:type="dxa"/>
          </w:tcPr>
          <w:p w14:paraId="2E1A55F7" w14:textId="77777777" w:rsidR="007E733F" w:rsidRPr="006B3ED2" w:rsidRDefault="007E733F" w:rsidP="007E733F">
            <w:pPr>
              <w:rPr>
                <w:rFonts w:ascii="Arial" w:hAnsi="Arial" w:cs="Arial"/>
                <w:sz w:val="20"/>
                <w:szCs w:val="20"/>
              </w:rPr>
            </w:pPr>
            <w:r w:rsidRPr="006B3ED2">
              <w:rPr>
                <w:rFonts w:ascii="Arial" w:hAnsi="Arial" w:cs="Arial"/>
                <w:sz w:val="20"/>
                <w:szCs w:val="20"/>
              </w:rPr>
              <w:t>-Primljeno na znanje</w:t>
            </w:r>
          </w:p>
          <w:p w14:paraId="4360AFBC" w14:textId="08E34922" w:rsidR="006B3ED2" w:rsidRPr="00630B97" w:rsidRDefault="006B3ED2" w:rsidP="006B3ED2">
            <w:pPr>
              <w:rPr>
                <w:rFonts w:ascii="Arial" w:hAnsi="Arial" w:cs="Arial"/>
                <w:color w:val="808080" w:themeColor="background1" w:themeShade="80"/>
                <w:sz w:val="20"/>
                <w:szCs w:val="20"/>
              </w:rPr>
            </w:pPr>
          </w:p>
          <w:p w14:paraId="7343A0F7" w14:textId="4A314A03" w:rsidR="007E733F" w:rsidRPr="00630B97" w:rsidRDefault="007E733F" w:rsidP="007E733F">
            <w:pPr>
              <w:rPr>
                <w:rFonts w:ascii="Arial" w:hAnsi="Arial" w:cs="Arial"/>
                <w:color w:val="808080" w:themeColor="background1" w:themeShade="80"/>
                <w:sz w:val="20"/>
                <w:szCs w:val="20"/>
              </w:rPr>
            </w:pPr>
          </w:p>
        </w:tc>
        <w:tc>
          <w:tcPr>
            <w:tcW w:w="5103" w:type="dxa"/>
          </w:tcPr>
          <w:p w14:paraId="7C7C671D" w14:textId="19414356" w:rsidR="00E337DD" w:rsidRPr="00E337DD" w:rsidRDefault="00E337DD" w:rsidP="007E733F">
            <w:pPr>
              <w:spacing w:beforeLines="40" w:before="96" w:afterLines="40" w:after="96"/>
              <w:jc w:val="both"/>
              <w:rPr>
                <w:rFonts w:cstheme="minorHAnsi"/>
              </w:rPr>
            </w:pPr>
            <w:r>
              <w:rPr>
                <w:rFonts w:cstheme="minorHAnsi"/>
              </w:rPr>
              <w:t xml:space="preserve">Sukladno čl. 11. st. 2. Zakona, savjetovanje s javnošću se provodi </w:t>
            </w:r>
            <w:r w:rsidRPr="00E337DD">
              <w:rPr>
                <w:rFonts w:cstheme="minorHAnsi"/>
              </w:rPr>
              <w:t>objavom nacrta propisa, općeg akta odnosno drugog dokumenta, s obrazloženjem razloga i ciljeva koji se žele postići donošenjem propisa, akta ili drugog dokumenta</w:t>
            </w:r>
            <w:r>
              <w:rPr>
                <w:rFonts w:cstheme="minorHAnsi"/>
              </w:rPr>
              <w:t xml:space="preserve"> te</w:t>
            </w:r>
            <w:r w:rsidRPr="00E337DD">
              <w:rPr>
                <w:rFonts w:cstheme="minorHAnsi"/>
              </w:rPr>
              <w:t xml:space="preserve"> sastavom radne skupine koja je izradila nacrt, ako je odlukom čelnika tijela radna skupina bila osnovana</w:t>
            </w:r>
            <w:r>
              <w:rPr>
                <w:rFonts w:cstheme="minorHAnsi"/>
              </w:rPr>
              <w:t>.</w:t>
            </w:r>
          </w:p>
          <w:p w14:paraId="04831D1E" w14:textId="17DBCC27" w:rsidR="0001242C" w:rsidRPr="0001242C" w:rsidRDefault="0001242C" w:rsidP="006B3ED2">
            <w:pPr>
              <w:spacing w:beforeLines="40" w:before="96" w:afterLines="40" w:after="96"/>
              <w:jc w:val="both"/>
              <w:rPr>
                <w:rFonts w:cstheme="minorHAnsi"/>
              </w:rPr>
            </w:pPr>
            <w:r w:rsidRPr="0001242C">
              <w:rPr>
                <w:rFonts w:cstheme="minorHAnsi"/>
              </w:rPr>
              <w:t>Za izradu nacrta odluke ni</w:t>
            </w:r>
            <w:r w:rsidR="006B3ED2">
              <w:rPr>
                <w:rFonts w:cstheme="minorHAnsi"/>
              </w:rPr>
              <w:t xml:space="preserve">je bila osnovana radna skupina, </w:t>
            </w:r>
            <w:r>
              <w:rPr>
                <w:rFonts w:cstheme="minorHAnsi"/>
              </w:rPr>
              <w:t xml:space="preserve">obrazloženje </w:t>
            </w:r>
            <w:r w:rsidR="00E337DD">
              <w:rPr>
                <w:rFonts w:cstheme="minorHAnsi"/>
              </w:rPr>
              <w:t>razloga i ciljeva koji se</w:t>
            </w:r>
            <w:r w:rsidR="006B3ED2">
              <w:rPr>
                <w:rFonts w:cstheme="minorHAnsi"/>
              </w:rPr>
              <w:t xml:space="preserve"> želi postići proizlaze iz samog nacrta odluke, a u ponovno otvorenom savjetovanju prijedloga predmetne odluke objavit će se kratko obrazloženje iste. </w:t>
            </w:r>
            <w:r w:rsidR="00E337DD">
              <w:rPr>
                <w:rFonts w:cstheme="minorHAnsi"/>
              </w:rPr>
              <w:t xml:space="preserve"> </w:t>
            </w:r>
          </w:p>
        </w:tc>
      </w:tr>
      <w:tr w:rsidR="007E733F" w:rsidRPr="00545616" w14:paraId="4D8F16DB" w14:textId="77777777" w:rsidTr="00C112F5">
        <w:tc>
          <w:tcPr>
            <w:tcW w:w="1702" w:type="dxa"/>
            <w:shd w:val="clear" w:color="auto" w:fill="auto"/>
          </w:tcPr>
          <w:p w14:paraId="56C52D56" w14:textId="7626297A" w:rsidR="007E733F" w:rsidRPr="007A7125" w:rsidRDefault="007E733F" w:rsidP="007E733F">
            <w:pPr>
              <w:jc w:val="both"/>
              <w:rPr>
                <w:rFonts w:cstheme="minorHAnsi"/>
                <w:color w:val="808080" w:themeColor="background1" w:themeShade="80"/>
              </w:rPr>
            </w:pPr>
            <w:r w:rsidRPr="007A7125">
              <w:rPr>
                <w:rFonts w:cstheme="minorHAnsi"/>
                <w:color w:val="808080" w:themeColor="background1" w:themeShade="80"/>
              </w:rPr>
              <w:t>Dubravka Dijanić</w:t>
            </w:r>
          </w:p>
        </w:tc>
        <w:tc>
          <w:tcPr>
            <w:tcW w:w="5528" w:type="dxa"/>
          </w:tcPr>
          <w:p w14:paraId="45C88563" w14:textId="77777777" w:rsidR="007E733F" w:rsidRPr="00232F74" w:rsidRDefault="007E733F" w:rsidP="007E733F">
            <w:pPr>
              <w:jc w:val="both"/>
              <w:rPr>
                <w:rFonts w:cstheme="minorHAnsi"/>
                <w:color w:val="808080" w:themeColor="background1" w:themeShade="80"/>
              </w:rPr>
            </w:pPr>
            <w:r w:rsidRPr="00232F74">
              <w:rPr>
                <w:rFonts w:cstheme="minorHAnsi"/>
                <w:color w:val="808080" w:themeColor="background1" w:themeShade="80"/>
              </w:rPr>
              <w:t>4. Primjedba:</w:t>
            </w:r>
          </w:p>
          <w:p w14:paraId="65692584" w14:textId="38B1F497" w:rsidR="007E733F" w:rsidRPr="000D0110" w:rsidRDefault="007E733F" w:rsidP="007E733F">
            <w:pPr>
              <w:jc w:val="both"/>
              <w:rPr>
                <w:rFonts w:cstheme="minorHAnsi"/>
                <w:color w:val="808080" w:themeColor="background1" w:themeShade="80"/>
              </w:rPr>
            </w:pPr>
            <w:r w:rsidRPr="00232F74">
              <w:rPr>
                <w:rFonts w:cstheme="minorHAnsi"/>
                <w:color w:val="808080" w:themeColor="background1" w:themeShade="80"/>
              </w:rPr>
              <w:t>Općinska Odluka iz 2022. sadrži odredbe koje nisu sukladne zakonu, a umjesto da se izmjenama i dopunama Odluka konačno s istim uskladi, njenim izmjenama i dopunama kako su predložene ovim nacrtom nastaviti će se pružanje javne usluge na području Općine Dobrinj suprotno odredbama zakona. Javna usluga se, na području cijelog otoka Krka, pružala suprotno zakonu i u razdoblju od 2017. - 2022. godine, što je utvrđeno 2019. g. u nadzoru nadležnog Ministarstva koje je utvrdilo da je osim Odluke JLS nezakonit i Cjenik Ponikve eko otok Krk, no većinu utvrđenih nezakonitosti u tim Odlukama i Cjeniku (naplata po m2 itd.) JLS i Ponikve nikad nisu ispravile te su stanovnici godinama plaćali neopravdano visoku cijenu javne usluge, a neopravdano visoku cijenu plaćaju i danas, nakon donošenja Odluke iz 2022. Ovim izmjenama i dopunama Odluke, veliki broj stanovnika plaćati će još višu cijenu javne usluge zbog uvođenja dodatne naplate korištenja spremnika na javnim površinama, umjesto da se prije svega izvršila revizija kalkulacije cijene javne usluge koju je nacrtom Odluke iz 2022. neutemeljeno i proizvoljno odredio davatelj usluge a prihvatio kao prijedlog općinski načelnik i predložio Vijeću koje je takvu Odluku donijelo. Odluku je potrebno uskladiti sa zakonom, što ovim nacrtom izmjena i dopuna nažalost nije predviđeno.</w:t>
            </w:r>
          </w:p>
        </w:tc>
        <w:tc>
          <w:tcPr>
            <w:tcW w:w="1276" w:type="dxa"/>
          </w:tcPr>
          <w:p w14:paraId="0DD11AAA" w14:textId="5C7066A6" w:rsidR="007E733F" w:rsidRPr="007A7125" w:rsidRDefault="007E733F" w:rsidP="007E733F">
            <w:pPr>
              <w:rPr>
                <w:rFonts w:cstheme="minorHAnsi"/>
                <w:color w:val="808080" w:themeColor="background1" w:themeShade="80"/>
              </w:rPr>
            </w:pPr>
            <w:r w:rsidRPr="00232F74">
              <w:rPr>
                <w:rFonts w:cstheme="minorHAnsi"/>
                <w:color w:val="808080" w:themeColor="background1" w:themeShade="80"/>
              </w:rPr>
              <w:t>11.02.2024 23:48</w:t>
            </w:r>
          </w:p>
        </w:tc>
        <w:tc>
          <w:tcPr>
            <w:tcW w:w="1418" w:type="dxa"/>
          </w:tcPr>
          <w:p w14:paraId="645CABFC" w14:textId="77777777" w:rsidR="007E733F" w:rsidRPr="006B3ED2" w:rsidRDefault="007E733F" w:rsidP="007E733F">
            <w:pPr>
              <w:rPr>
                <w:rFonts w:ascii="Arial" w:hAnsi="Arial" w:cs="Arial"/>
                <w:sz w:val="20"/>
                <w:szCs w:val="20"/>
              </w:rPr>
            </w:pPr>
            <w:r w:rsidRPr="006B3ED2">
              <w:rPr>
                <w:rFonts w:ascii="Arial" w:hAnsi="Arial" w:cs="Arial"/>
                <w:sz w:val="20"/>
                <w:szCs w:val="20"/>
              </w:rPr>
              <w:t>-Primljeno na znanje</w:t>
            </w:r>
          </w:p>
          <w:p w14:paraId="523EE06D" w14:textId="13CF393C" w:rsidR="006B3ED2" w:rsidRPr="006B3ED2" w:rsidRDefault="006B3ED2" w:rsidP="006B3ED2">
            <w:pPr>
              <w:rPr>
                <w:rFonts w:ascii="Arial" w:hAnsi="Arial" w:cs="Arial"/>
                <w:sz w:val="20"/>
                <w:szCs w:val="20"/>
              </w:rPr>
            </w:pPr>
          </w:p>
          <w:p w14:paraId="29F899D7" w14:textId="6633AD56" w:rsidR="007E733F" w:rsidRPr="006B3ED2" w:rsidRDefault="007E733F" w:rsidP="007E733F">
            <w:pPr>
              <w:rPr>
                <w:rFonts w:ascii="Arial" w:hAnsi="Arial" w:cs="Arial"/>
                <w:sz w:val="20"/>
                <w:szCs w:val="20"/>
              </w:rPr>
            </w:pPr>
          </w:p>
        </w:tc>
        <w:tc>
          <w:tcPr>
            <w:tcW w:w="5103" w:type="dxa"/>
          </w:tcPr>
          <w:p w14:paraId="41329BC8" w14:textId="79D3F50F" w:rsidR="00E67E44" w:rsidRPr="00E67E44" w:rsidRDefault="008C510A" w:rsidP="007E733F">
            <w:pPr>
              <w:spacing w:beforeLines="40" w:before="96" w:afterLines="40" w:after="96"/>
              <w:jc w:val="both"/>
              <w:rPr>
                <w:rFonts w:cstheme="minorHAnsi"/>
              </w:rPr>
            </w:pPr>
            <w:r>
              <w:rPr>
                <w:rFonts w:cstheme="minorHAnsi"/>
              </w:rPr>
              <w:t>Ovim izmjenama i dopunama Odluke, suprotno navodima iz primjedbe, pružanje javne usluge usklađuje se sa Zakonom, na način da se omogućava postavljanje otpadomjera na spremnicima na javnim površinama, odnosno naplata cijene javne usluge prema stvarno predanim količin</w:t>
            </w:r>
            <w:r w:rsidR="00494031">
              <w:rPr>
                <w:rFonts w:cstheme="minorHAnsi"/>
              </w:rPr>
              <w:t>a</w:t>
            </w:r>
            <w:r>
              <w:rPr>
                <w:rFonts w:cstheme="minorHAnsi"/>
              </w:rPr>
              <w:t>ma miješanog komunalnog otpada.</w:t>
            </w:r>
          </w:p>
        </w:tc>
      </w:tr>
      <w:tr w:rsidR="007E733F" w:rsidRPr="00545616" w14:paraId="33E5D832" w14:textId="77777777" w:rsidTr="00C112F5">
        <w:tc>
          <w:tcPr>
            <w:tcW w:w="1702" w:type="dxa"/>
            <w:shd w:val="clear" w:color="auto" w:fill="auto"/>
          </w:tcPr>
          <w:p w14:paraId="41D1E8CC" w14:textId="31121C24" w:rsidR="007E733F" w:rsidRPr="007A7125" w:rsidRDefault="007E733F" w:rsidP="007E733F">
            <w:pPr>
              <w:jc w:val="both"/>
              <w:rPr>
                <w:rFonts w:cstheme="minorHAnsi"/>
                <w:color w:val="808080" w:themeColor="background1" w:themeShade="80"/>
              </w:rPr>
            </w:pPr>
            <w:r w:rsidRPr="007A7125">
              <w:rPr>
                <w:rFonts w:cstheme="minorHAnsi"/>
                <w:color w:val="808080" w:themeColor="background1" w:themeShade="80"/>
              </w:rPr>
              <w:t>Dubravka Dijanić</w:t>
            </w:r>
          </w:p>
        </w:tc>
        <w:tc>
          <w:tcPr>
            <w:tcW w:w="5528" w:type="dxa"/>
          </w:tcPr>
          <w:p w14:paraId="7DFF4E31" w14:textId="77777777" w:rsidR="007E733F" w:rsidRPr="00232F74" w:rsidRDefault="007E733F" w:rsidP="007E733F">
            <w:pPr>
              <w:jc w:val="both"/>
              <w:rPr>
                <w:rFonts w:cstheme="minorHAnsi"/>
                <w:color w:val="808080" w:themeColor="background1" w:themeShade="80"/>
              </w:rPr>
            </w:pPr>
            <w:r w:rsidRPr="00232F74">
              <w:rPr>
                <w:rFonts w:cstheme="minorHAnsi"/>
                <w:color w:val="808080" w:themeColor="background1" w:themeShade="80"/>
              </w:rPr>
              <w:t>5. Prijedlog:</w:t>
            </w:r>
          </w:p>
          <w:p w14:paraId="2CDCADE1" w14:textId="4667B07A" w:rsidR="007E733F" w:rsidRPr="000D0110" w:rsidRDefault="007E733F" w:rsidP="007E733F">
            <w:pPr>
              <w:jc w:val="both"/>
              <w:rPr>
                <w:rFonts w:cstheme="minorHAnsi"/>
                <w:color w:val="808080" w:themeColor="background1" w:themeShade="80"/>
              </w:rPr>
            </w:pPr>
            <w:r w:rsidRPr="00232F74">
              <w:rPr>
                <w:rFonts w:cstheme="minorHAnsi"/>
                <w:color w:val="808080" w:themeColor="background1" w:themeShade="80"/>
              </w:rPr>
              <w:t xml:space="preserve">Predlažem da se u Odluku uključe i izmjene odredbi o cijeni minimalne javne usluge, tako da cijena bude opravdana i obrazložena transparentno predočenim financijskim podacima o troškovima javne usluge, s obzirom da to nije bilo učinjeno 2022. g. kada je donesena Odluka pa je posljedica neopravdano visoka cijena obvezne minimalne </w:t>
            </w:r>
            <w:r w:rsidRPr="00232F74">
              <w:rPr>
                <w:rFonts w:cstheme="minorHAnsi"/>
                <w:color w:val="808080" w:themeColor="background1" w:themeShade="80"/>
              </w:rPr>
              <w:lastRenderedPageBreak/>
              <w:t>javne usluge određena suprotno zakonskim kriterijima a koju plaćaju stanovnici Općine Dobrinj i cijelog otoka Krka.</w:t>
            </w:r>
          </w:p>
        </w:tc>
        <w:tc>
          <w:tcPr>
            <w:tcW w:w="1276" w:type="dxa"/>
          </w:tcPr>
          <w:p w14:paraId="29076D6D" w14:textId="5590AD41" w:rsidR="007E733F" w:rsidRPr="007A7125" w:rsidRDefault="00C814DF" w:rsidP="007E733F">
            <w:pPr>
              <w:rPr>
                <w:rFonts w:cstheme="minorHAnsi"/>
                <w:color w:val="808080" w:themeColor="background1" w:themeShade="80"/>
              </w:rPr>
            </w:pPr>
            <w:r>
              <w:rPr>
                <w:rFonts w:cstheme="minorHAnsi"/>
                <w:color w:val="808080" w:themeColor="background1" w:themeShade="80"/>
              </w:rPr>
              <w:lastRenderedPageBreak/>
              <w:t>1</w:t>
            </w:r>
            <w:r w:rsidR="007E733F" w:rsidRPr="002B3563">
              <w:rPr>
                <w:rFonts w:cstheme="minorHAnsi"/>
                <w:color w:val="808080" w:themeColor="background1" w:themeShade="80"/>
              </w:rPr>
              <w:t>1.02.2024 23:54</w:t>
            </w:r>
          </w:p>
        </w:tc>
        <w:tc>
          <w:tcPr>
            <w:tcW w:w="1418" w:type="dxa"/>
          </w:tcPr>
          <w:p w14:paraId="676399E4" w14:textId="77777777" w:rsidR="007E733F" w:rsidRPr="006B3ED2" w:rsidRDefault="007E733F" w:rsidP="007E733F">
            <w:pPr>
              <w:rPr>
                <w:rFonts w:ascii="Arial" w:hAnsi="Arial" w:cs="Arial"/>
                <w:sz w:val="20"/>
                <w:szCs w:val="20"/>
              </w:rPr>
            </w:pPr>
            <w:r w:rsidRPr="00630B97">
              <w:rPr>
                <w:rFonts w:ascii="Arial" w:hAnsi="Arial" w:cs="Arial"/>
                <w:color w:val="808080" w:themeColor="background1" w:themeShade="80"/>
                <w:sz w:val="20"/>
                <w:szCs w:val="20"/>
              </w:rPr>
              <w:t>-</w:t>
            </w:r>
            <w:r w:rsidRPr="006B3ED2">
              <w:rPr>
                <w:rFonts w:ascii="Arial" w:hAnsi="Arial" w:cs="Arial"/>
                <w:sz w:val="20"/>
                <w:szCs w:val="20"/>
              </w:rPr>
              <w:t>Primljeno na znanje</w:t>
            </w:r>
          </w:p>
          <w:p w14:paraId="1CFDBC87" w14:textId="12F8DC60" w:rsidR="007E733F" w:rsidRPr="006B3ED2" w:rsidRDefault="007E733F" w:rsidP="007E733F">
            <w:pPr>
              <w:rPr>
                <w:rFonts w:ascii="Arial" w:hAnsi="Arial" w:cs="Arial"/>
                <w:sz w:val="20"/>
                <w:szCs w:val="20"/>
              </w:rPr>
            </w:pPr>
          </w:p>
        </w:tc>
        <w:tc>
          <w:tcPr>
            <w:tcW w:w="5103" w:type="dxa"/>
          </w:tcPr>
          <w:p w14:paraId="4C38D2C0" w14:textId="481B6C26" w:rsidR="008C510A" w:rsidRPr="008C510A" w:rsidRDefault="008C510A" w:rsidP="007E733F">
            <w:pPr>
              <w:spacing w:beforeLines="40" w:before="96" w:afterLines="40" w:after="96"/>
              <w:jc w:val="both"/>
              <w:rPr>
                <w:rFonts w:cstheme="minorHAnsi"/>
              </w:rPr>
            </w:pPr>
            <w:r>
              <w:rPr>
                <w:rFonts w:cstheme="minorHAnsi"/>
              </w:rPr>
              <w:t>Ovim izmjenama i dopunama Odluke nije predviđena izmjena cijene minimalne javne usluge</w:t>
            </w:r>
            <w:r w:rsidR="00EE3F9E">
              <w:rPr>
                <w:rFonts w:cstheme="minorHAnsi"/>
              </w:rPr>
              <w:t>.</w:t>
            </w:r>
          </w:p>
          <w:p w14:paraId="4D3636EC" w14:textId="07D60468" w:rsidR="008C510A" w:rsidRPr="00184E7F" w:rsidRDefault="008C510A" w:rsidP="007E733F">
            <w:pPr>
              <w:spacing w:beforeLines="40" w:before="96" w:afterLines="40" w:after="96"/>
              <w:jc w:val="both"/>
              <w:rPr>
                <w:rFonts w:cstheme="minorHAnsi"/>
                <w:color w:val="FF0000"/>
              </w:rPr>
            </w:pPr>
          </w:p>
        </w:tc>
      </w:tr>
      <w:tr w:rsidR="007E733F" w:rsidRPr="00545616" w14:paraId="3F561BD8" w14:textId="77777777" w:rsidTr="00C112F5">
        <w:tc>
          <w:tcPr>
            <w:tcW w:w="1702" w:type="dxa"/>
            <w:shd w:val="clear" w:color="auto" w:fill="auto"/>
          </w:tcPr>
          <w:p w14:paraId="27A4F9A6" w14:textId="1ECE5D6F" w:rsidR="007E733F" w:rsidRPr="007A7125" w:rsidRDefault="007E733F" w:rsidP="007E733F">
            <w:pPr>
              <w:jc w:val="both"/>
              <w:rPr>
                <w:rFonts w:cstheme="minorHAnsi"/>
                <w:color w:val="808080" w:themeColor="background1" w:themeShade="80"/>
              </w:rPr>
            </w:pPr>
            <w:r w:rsidRPr="007A7125">
              <w:rPr>
                <w:rFonts w:cstheme="minorHAnsi"/>
                <w:color w:val="808080" w:themeColor="background1" w:themeShade="80"/>
              </w:rPr>
              <w:t>Dubravka Dijanić</w:t>
            </w:r>
          </w:p>
        </w:tc>
        <w:tc>
          <w:tcPr>
            <w:tcW w:w="5528" w:type="dxa"/>
          </w:tcPr>
          <w:p w14:paraId="2FD40D2D" w14:textId="77777777" w:rsidR="007E733F" w:rsidRPr="00232F74" w:rsidRDefault="007E733F" w:rsidP="007E733F">
            <w:pPr>
              <w:jc w:val="both"/>
              <w:rPr>
                <w:rFonts w:cstheme="minorHAnsi"/>
                <w:color w:val="808080" w:themeColor="background1" w:themeShade="80"/>
              </w:rPr>
            </w:pPr>
            <w:r w:rsidRPr="00232F74">
              <w:rPr>
                <w:rFonts w:cstheme="minorHAnsi"/>
                <w:color w:val="808080" w:themeColor="background1" w:themeShade="80"/>
              </w:rPr>
              <w:t>6. Primjedba:</w:t>
            </w:r>
          </w:p>
          <w:p w14:paraId="7F0A204E" w14:textId="750A335D" w:rsidR="007E733F" w:rsidRPr="000D0110" w:rsidRDefault="007E733F" w:rsidP="007E733F">
            <w:pPr>
              <w:jc w:val="both"/>
              <w:rPr>
                <w:rFonts w:cstheme="minorHAnsi"/>
                <w:color w:val="808080" w:themeColor="background1" w:themeShade="80"/>
              </w:rPr>
            </w:pPr>
            <w:r w:rsidRPr="00232F74">
              <w:rPr>
                <w:rFonts w:cstheme="minorHAnsi"/>
                <w:color w:val="808080" w:themeColor="background1" w:themeShade="80"/>
              </w:rPr>
              <w:t>Odredbe o ugovornoj kazni nisu u skladu sa Zakonom o gospodarenju otpadom te ih je potrebno uskladiti.</w:t>
            </w:r>
          </w:p>
        </w:tc>
        <w:tc>
          <w:tcPr>
            <w:tcW w:w="1276" w:type="dxa"/>
          </w:tcPr>
          <w:p w14:paraId="428649B8" w14:textId="634E7A46" w:rsidR="007E733F" w:rsidRPr="007A7125" w:rsidRDefault="007E733F" w:rsidP="007E733F">
            <w:pPr>
              <w:rPr>
                <w:rFonts w:cstheme="minorHAnsi"/>
                <w:color w:val="808080" w:themeColor="background1" w:themeShade="80"/>
              </w:rPr>
            </w:pPr>
            <w:r w:rsidRPr="002B3563">
              <w:rPr>
                <w:rFonts w:cstheme="minorHAnsi"/>
                <w:color w:val="808080" w:themeColor="background1" w:themeShade="80"/>
              </w:rPr>
              <w:t>11.02.2024 23:57</w:t>
            </w:r>
          </w:p>
        </w:tc>
        <w:tc>
          <w:tcPr>
            <w:tcW w:w="1418" w:type="dxa"/>
          </w:tcPr>
          <w:p w14:paraId="78545391" w14:textId="77777777" w:rsidR="007E733F" w:rsidRPr="006B3ED2" w:rsidRDefault="007E733F" w:rsidP="007E733F">
            <w:pPr>
              <w:rPr>
                <w:rFonts w:ascii="Arial" w:hAnsi="Arial" w:cs="Arial"/>
                <w:sz w:val="20"/>
                <w:szCs w:val="20"/>
              </w:rPr>
            </w:pPr>
            <w:r w:rsidRPr="006B3ED2">
              <w:rPr>
                <w:rFonts w:ascii="Arial" w:hAnsi="Arial" w:cs="Arial"/>
                <w:sz w:val="20"/>
                <w:szCs w:val="20"/>
              </w:rPr>
              <w:t>-Primljeno na znanje</w:t>
            </w:r>
          </w:p>
          <w:p w14:paraId="34C6FB93" w14:textId="3B61819D" w:rsidR="007E733F" w:rsidRPr="006B3ED2" w:rsidRDefault="007E733F" w:rsidP="007E733F">
            <w:pPr>
              <w:rPr>
                <w:rFonts w:ascii="Arial" w:hAnsi="Arial" w:cs="Arial"/>
                <w:sz w:val="20"/>
                <w:szCs w:val="20"/>
              </w:rPr>
            </w:pPr>
          </w:p>
        </w:tc>
        <w:tc>
          <w:tcPr>
            <w:tcW w:w="5103" w:type="dxa"/>
          </w:tcPr>
          <w:p w14:paraId="50AE072D" w14:textId="207785BF" w:rsidR="008C510A" w:rsidRPr="00494031" w:rsidRDefault="008C510A" w:rsidP="007E733F">
            <w:pPr>
              <w:spacing w:beforeLines="40" w:before="96" w:afterLines="40" w:after="96"/>
              <w:jc w:val="both"/>
              <w:rPr>
                <w:rFonts w:cstheme="minorHAnsi"/>
              </w:rPr>
            </w:pPr>
            <w:r w:rsidRPr="00494031">
              <w:rPr>
                <w:rFonts w:cstheme="minorHAnsi"/>
              </w:rPr>
              <w:t>Paušalna i neutemeljena primjedba</w:t>
            </w:r>
            <w:r w:rsidR="00EE3F9E">
              <w:rPr>
                <w:rFonts w:cstheme="minorHAnsi"/>
              </w:rPr>
              <w:t>.</w:t>
            </w:r>
            <w:r w:rsidRPr="00494031">
              <w:rPr>
                <w:rFonts w:cstheme="minorHAnsi"/>
              </w:rPr>
              <w:t xml:space="preserve"> Odredbe su u skladu sa Zakonom</w:t>
            </w:r>
            <w:r w:rsidR="00EE3F9E">
              <w:rPr>
                <w:rFonts w:cstheme="minorHAnsi"/>
              </w:rPr>
              <w:t>.</w:t>
            </w:r>
            <w:r w:rsidRPr="00494031">
              <w:rPr>
                <w:rFonts w:cstheme="minorHAnsi"/>
              </w:rPr>
              <w:t xml:space="preserve"> </w:t>
            </w:r>
          </w:p>
        </w:tc>
      </w:tr>
      <w:tr w:rsidR="007E733F" w:rsidRPr="00545616" w14:paraId="43F68CBB" w14:textId="77777777" w:rsidTr="00C112F5">
        <w:tc>
          <w:tcPr>
            <w:tcW w:w="1702" w:type="dxa"/>
            <w:shd w:val="clear" w:color="auto" w:fill="auto"/>
          </w:tcPr>
          <w:p w14:paraId="5F7CE7B7" w14:textId="6DE32252" w:rsidR="007E733F" w:rsidRPr="007A7125" w:rsidRDefault="007E733F" w:rsidP="007E733F">
            <w:pPr>
              <w:jc w:val="both"/>
              <w:rPr>
                <w:rFonts w:cstheme="minorHAnsi"/>
                <w:color w:val="808080" w:themeColor="background1" w:themeShade="80"/>
              </w:rPr>
            </w:pPr>
            <w:bookmarkStart w:id="0" w:name="_GoBack" w:colFirst="3" w:colLast="3"/>
            <w:r w:rsidRPr="007A7125">
              <w:rPr>
                <w:rFonts w:cstheme="minorHAnsi"/>
                <w:color w:val="808080" w:themeColor="background1" w:themeShade="80"/>
              </w:rPr>
              <w:t>Dubravka Dijanić</w:t>
            </w:r>
          </w:p>
        </w:tc>
        <w:tc>
          <w:tcPr>
            <w:tcW w:w="5528" w:type="dxa"/>
          </w:tcPr>
          <w:p w14:paraId="31E37B3D" w14:textId="77777777" w:rsidR="007E733F" w:rsidRPr="00232F74" w:rsidRDefault="007E733F" w:rsidP="007E733F">
            <w:pPr>
              <w:jc w:val="both"/>
              <w:rPr>
                <w:rFonts w:cstheme="minorHAnsi"/>
                <w:color w:val="808080" w:themeColor="background1" w:themeShade="80"/>
              </w:rPr>
            </w:pPr>
            <w:r w:rsidRPr="00232F74">
              <w:rPr>
                <w:rFonts w:cstheme="minorHAnsi"/>
                <w:color w:val="808080" w:themeColor="background1" w:themeShade="80"/>
              </w:rPr>
              <w:t>7. Primjedba:</w:t>
            </w:r>
          </w:p>
          <w:p w14:paraId="55D232BE" w14:textId="7EFB96BE" w:rsidR="007E733F" w:rsidRPr="000D0110" w:rsidRDefault="007E733F" w:rsidP="007E733F">
            <w:pPr>
              <w:jc w:val="both"/>
              <w:rPr>
                <w:rFonts w:cstheme="minorHAnsi"/>
                <w:color w:val="808080" w:themeColor="background1" w:themeShade="80"/>
              </w:rPr>
            </w:pPr>
            <w:r w:rsidRPr="00232F74">
              <w:rPr>
                <w:rFonts w:cstheme="minorHAnsi"/>
                <w:color w:val="808080" w:themeColor="background1" w:themeShade="80"/>
              </w:rPr>
              <w:t>Korištenje RFID kartica riješit će problem samo s korisnicima poluukopanih spremnika, dok se na ostale spremnike na javnim površinama neće ugraditi otpadomjeri pa će se tim korisnicima i dalje naplaćivati javna usluga suprotno zakonu</w:t>
            </w:r>
          </w:p>
        </w:tc>
        <w:tc>
          <w:tcPr>
            <w:tcW w:w="1276" w:type="dxa"/>
          </w:tcPr>
          <w:p w14:paraId="7BF18600" w14:textId="70828823" w:rsidR="007E733F" w:rsidRPr="007A7125" w:rsidRDefault="007E733F" w:rsidP="007E733F">
            <w:pPr>
              <w:rPr>
                <w:rFonts w:cstheme="minorHAnsi"/>
                <w:color w:val="808080" w:themeColor="background1" w:themeShade="80"/>
              </w:rPr>
            </w:pPr>
            <w:r w:rsidRPr="002B3563">
              <w:rPr>
                <w:rFonts w:cstheme="minorHAnsi"/>
                <w:color w:val="808080" w:themeColor="background1" w:themeShade="80"/>
              </w:rPr>
              <w:t>11.02.2024 23:59</w:t>
            </w:r>
          </w:p>
        </w:tc>
        <w:tc>
          <w:tcPr>
            <w:tcW w:w="1418" w:type="dxa"/>
          </w:tcPr>
          <w:p w14:paraId="47B3E3E1" w14:textId="77777777" w:rsidR="007E733F" w:rsidRPr="006B3ED2" w:rsidRDefault="007E733F" w:rsidP="007E733F">
            <w:pPr>
              <w:rPr>
                <w:rFonts w:ascii="Arial" w:hAnsi="Arial" w:cs="Arial"/>
                <w:sz w:val="20"/>
                <w:szCs w:val="20"/>
              </w:rPr>
            </w:pPr>
            <w:r w:rsidRPr="006B3ED2">
              <w:rPr>
                <w:rFonts w:ascii="Arial" w:hAnsi="Arial" w:cs="Arial"/>
                <w:sz w:val="20"/>
                <w:szCs w:val="20"/>
              </w:rPr>
              <w:t>-Primljeno na znanje</w:t>
            </w:r>
          </w:p>
          <w:p w14:paraId="7BAEAC2D" w14:textId="312D2245" w:rsidR="007E733F" w:rsidRPr="006B3ED2" w:rsidRDefault="007E733F" w:rsidP="007E733F">
            <w:pPr>
              <w:rPr>
                <w:rFonts w:ascii="Arial" w:hAnsi="Arial" w:cs="Arial"/>
                <w:sz w:val="20"/>
                <w:szCs w:val="20"/>
              </w:rPr>
            </w:pPr>
          </w:p>
        </w:tc>
        <w:tc>
          <w:tcPr>
            <w:tcW w:w="5103" w:type="dxa"/>
          </w:tcPr>
          <w:p w14:paraId="309A7939" w14:textId="48244838" w:rsidR="007E733F" w:rsidRDefault="00EE3F9E" w:rsidP="007E733F">
            <w:pPr>
              <w:spacing w:beforeLines="40" w:before="96" w:afterLines="40" w:after="96"/>
              <w:jc w:val="both"/>
              <w:rPr>
                <w:rFonts w:cstheme="minorHAnsi"/>
              </w:rPr>
            </w:pPr>
            <w:r w:rsidRPr="00EE3F9E">
              <w:rPr>
                <w:rFonts w:cstheme="minorHAnsi"/>
              </w:rPr>
              <w:t xml:space="preserve">Otpadomjeri </w:t>
            </w:r>
            <w:r>
              <w:rPr>
                <w:rFonts w:cstheme="minorHAnsi"/>
              </w:rPr>
              <w:t xml:space="preserve">će se ugraditi na sve spremnike na javnim površinama. </w:t>
            </w:r>
          </w:p>
          <w:p w14:paraId="7710360D" w14:textId="5A0AFF60" w:rsidR="00EE3F9E" w:rsidRPr="00EE3F9E" w:rsidRDefault="00EE3F9E" w:rsidP="007E733F">
            <w:pPr>
              <w:spacing w:beforeLines="40" w:before="96" w:afterLines="40" w:after="96"/>
              <w:jc w:val="both"/>
              <w:rPr>
                <w:rFonts w:cstheme="minorHAnsi"/>
              </w:rPr>
            </w:pPr>
          </w:p>
        </w:tc>
      </w:tr>
      <w:tr w:rsidR="007E733F" w:rsidRPr="00545616" w14:paraId="3B686A83" w14:textId="77777777" w:rsidTr="00C112F5">
        <w:tc>
          <w:tcPr>
            <w:tcW w:w="1702" w:type="dxa"/>
            <w:shd w:val="clear" w:color="auto" w:fill="auto"/>
          </w:tcPr>
          <w:p w14:paraId="4402B936" w14:textId="3DA88A11" w:rsidR="007E733F" w:rsidRPr="007A7125" w:rsidRDefault="007E733F" w:rsidP="007E733F">
            <w:pPr>
              <w:jc w:val="both"/>
              <w:rPr>
                <w:rFonts w:cstheme="minorHAnsi"/>
                <w:color w:val="808080" w:themeColor="background1" w:themeShade="80"/>
              </w:rPr>
            </w:pPr>
            <w:r w:rsidRPr="007A7125">
              <w:rPr>
                <w:rFonts w:cstheme="minorHAnsi"/>
                <w:color w:val="808080" w:themeColor="background1" w:themeShade="80"/>
              </w:rPr>
              <w:t>Dubravka Dijanić</w:t>
            </w:r>
          </w:p>
        </w:tc>
        <w:tc>
          <w:tcPr>
            <w:tcW w:w="5528" w:type="dxa"/>
          </w:tcPr>
          <w:p w14:paraId="566C6214" w14:textId="77777777" w:rsidR="007E733F" w:rsidRPr="00232F74" w:rsidRDefault="007E733F" w:rsidP="007E733F">
            <w:pPr>
              <w:jc w:val="both"/>
              <w:rPr>
                <w:rFonts w:cstheme="minorHAnsi"/>
                <w:color w:val="808080" w:themeColor="background1" w:themeShade="80"/>
              </w:rPr>
            </w:pPr>
            <w:r w:rsidRPr="00232F74">
              <w:rPr>
                <w:rFonts w:cstheme="minorHAnsi"/>
                <w:color w:val="808080" w:themeColor="background1" w:themeShade="80"/>
              </w:rPr>
              <w:t>8. Primjedba i prijedlog</w:t>
            </w:r>
          </w:p>
          <w:p w14:paraId="37882DA6" w14:textId="16FB8398" w:rsidR="007E733F" w:rsidRPr="000D0110" w:rsidRDefault="007E733F" w:rsidP="007E733F">
            <w:pPr>
              <w:jc w:val="both"/>
              <w:rPr>
                <w:rFonts w:cstheme="minorHAnsi"/>
                <w:color w:val="808080" w:themeColor="background1" w:themeShade="80"/>
              </w:rPr>
            </w:pPr>
            <w:r w:rsidRPr="00232F74">
              <w:rPr>
                <w:rFonts w:cstheme="minorHAnsi"/>
                <w:color w:val="808080" w:themeColor="background1" w:themeShade="80"/>
              </w:rPr>
              <w:t>Iz odluke treba brisati frazu "do uvođenja digitalne evidencije" i sve odredbe u kojima se pojavljuje jer istom davatelj usluge već 8 godina manipulira kako bi mogao raditi suprotno zakonu</w:t>
            </w:r>
          </w:p>
        </w:tc>
        <w:tc>
          <w:tcPr>
            <w:tcW w:w="1276" w:type="dxa"/>
          </w:tcPr>
          <w:p w14:paraId="7E4C1BC2" w14:textId="40245A54" w:rsidR="007E733F" w:rsidRPr="007A7125" w:rsidRDefault="007E733F" w:rsidP="007E733F">
            <w:pPr>
              <w:rPr>
                <w:rFonts w:cstheme="minorHAnsi"/>
                <w:color w:val="808080" w:themeColor="background1" w:themeShade="80"/>
              </w:rPr>
            </w:pPr>
            <w:r w:rsidRPr="002B3563">
              <w:rPr>
                <w:rFonts w:cstheme="minorHAnsi"/>
                <w:color w:val="808080" w:themeColor="background1" w:themeShade="80"/>
              </w:rPr>
              <w:t>12.02.2024 00:00</w:t>
            </w:r>
          </w:p>
        </w:tc>
        <w:tc>
          <w:tcPr>
            <w:tcW w:w="1418" w:type="dxa"/>
          </w:tcPr>
          <w:p w14:paraId="356C6488" w14:textId="77777777" w:rsidR="007E733F" w:rsidRPr="006B3ED2" w:rsidRDefault="007E733F" w:rsidP="007E733F">
            <w:pPr>
              <w:rPr>
                <w:rFonts w:ascii="Arial" w:hAnsi="Arial" w:cs="Arial"/>
                <w:sz w:val="20"/>
                <w:szCs w:val="20"/>
              </w:rPr>
            </w:pPr>
            <w:r w:rsidRPr="006B3ED2">
              <w:rPr>
                <w:rFonts w:ascii="Arial" w:hAnsi="Arial" w:cs="Arial"/>
                <w:sz w:val="20"/>
                <w:szCs w:val="20"/>
              </w:rPr>
              <w:t>-Primljeno na znanje</w:t>
            </w:r>
          </w:p>
          <w:p w14:paraId="48D1D53E" w14:textId="40045F9D" w:rsidR="007E733F" w:rsidRPr="006B3ED2" w:rsidRDefault="007E733F" w:rsidP="007E733F">
            <w:pPr>
              <w:rPr>
                <w:rFonts w:ascii="Arial" w:hAnsi="Arial" w:cs="Arial"/>
                <w:sz w:val="20"/>
                <w:szCs w:val="20"/>
              </w:rPr>
            </w:pPr>
          </w:p>
        </w:tc>
        <w:tc>
          <w:tcPr>
            <w:tcW w:w="5103" w:type="dxa"/>
          </w:tcPr>
          <w:p w14:paraId="34EE776D" w14:textId="000D3A22" w:rsidR="007E733F" w:rsidRPr="00EE3F9E" w:rsidRDefault="00EE3F9E" w:rsidP="007E733F">
            <w:pPr>
              <w:spacing w:beforeLines="40" w:before="96" w:afterLines="40" w:after="96"/>
              <w:jc w:val="both"/>
              <w:rPr>
                <w:rFonts w:cstheme="minorHAnsi"/>
              </w:rPr>
            </w:pPr>
            <w:r>
              <w:rPr>
                <w:rFonts w:cstheme="minorHAnsi"/>
              </w:rPr>
              <w:t>Isto je potrebno radi izbjegavanja pravne praznine.</w:t>
            </w:r>
          </w:p>
        </w:tc>
      </w:tr>
      <w:bookmarkEnd w:id="0"/>
    </w:tbl>
    <w:p w14:paraId="3AB44A0F" w14:textId="77777777" w:rsidR="00545616" w:rsidRPr="00545616" w:rsidRDefault="00545616">
      <w:pPr>
        <w:rPr>
          <w:rFonts w:cstheme="minorHAnsi"/>
          <w:color w:val="808080" w:themeColor="background1" w:themeShade="80"/>
        </w:rPr>
      </w:pPr>
    </w:p>
    <w:sectPr w:rsidR="00545616" w:rsidRPr="00545616" w:rsidSect="00574DBE">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F9A6" w14:textId="77777777" w:rsidR="00912DCD" w:rsidRDefault="00912DCD" w:rsidP="00946F1A">
      <w:pPr>
        <w:spacing w:after="0" w:line="240" w:lineRule="auto"/>
      </w:pPr>
      <w:r>
        <w:separator/>
      </w:r>
    </w:p>
  </w:endnote>
  <w:endnote w:type="continuationSeparator" w:id="0">
    <w:p w14:paraId="15A582A0" w14:textId="77777777" w:rsidR="00912DCD" w:rsidRDefault="00912DCD"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C89A2" w14:textId="77777777" w:rsidR="00912DCD" w:rsidRDefault="00912DCD" w:rsidP="00946F1A">
      <w:pPr>
        <w:spacing w:after="0" w:line="240" w:lineRule="auto"/>
      </w:pPr>
      <w:r>
        <w:separator/>
      </w:r>
    </w:p>
  </w:footnote>
  <w:footnote w:type="continuationSeparator" w:id="0">
    <w:p w14:paraId="71948D1C" w14:textId="77777777" w:rsidR="00912DCD" w:rsidRDefault="00912DCD" w:rsidP="00946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DDBA" w14:textId="5F335888" w:rsidR="007C536F" w:rsidRDefault="00EE3F9E">
    <w:pPr>
      <w:pStyle w:val="Header"/>
    </w:pPr>
    <w:r>
      <w:rPr>
        <w:noProof/>
        <w:lang w:eastAsia="hr-HR"/>
      </w:rPr>
      <mc:AlternateContent>
        <mc:Choice Requires="wps">
          <w:drawing>
            <wp:anchor distT="0" distB="0" distL="114300" distR="114300" simplePos="0" relativeHeight="251658240" behindDoc="0" locked="0" layoutInCell="1" allowOverlap="1" wp14:anchorId="0C68181C" wp14:editId="5A71EA38">
              <wp:simplePos x="0" y="0"/>
              <wp:positionH relativeFrom="column">
                <wp:posOffset>542290</wp:posOffset>
              </wp:positionH>
              <wp:positionV relativeFrom="paragraph">
                <wp:posOffset>170180</wp:posOffset>
              </wp:positionV>
              <wp:extent cx="1749425" cy="441960"/>
              <wp:effectExtent l="8890" t="8255" r="13335" b="6985"/>
              <wp:wrapNone/>
              <wp:docPr id="7750867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37EE7904"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7A7125">
                            <w:rPr>
                              <w:b/>
                              <w:noProof/>
                              <w:color w:val="808080" w:themeColor="background1" w:themeShade="80"/>
                              <w:lang w:eastAsia="hr-HR"/>
                            </w:rPr>
                            <w:t>DOBRINJ</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37EE7904"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7A7125">
                      <w:rPr>
                        <w:b/>
                        <w:noProof/>
                        <w:color w:val="808080" w:themeColor="background1" w:themeShade="80"/>
                        <w:lang w:eastAsia="hr-HR"/>
                      </w:rPr>
                      <w:t>DOBRINJ</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1A"/>
    <w:rsid w:val="0001242C"/>
    <w:rsid w:val="0001753A"/>
    <w:rsid w:val="00084810"/>
    <w:rsid w:val="00095998"/>
    <w:rsid w:val="000D0110"/>
    <w:rsid w:val="00153093"/>
    <w:rsid w:val="00184E7F"/>
    <w:rsid w:val="001B0961"/>
    <w:rsid w:val="001B43C3"/>
    <w:rsid w:val="00232F74"/>
    <w:rsid w:val="00255AF3"/>
    <w:rsid w:val="002B3563"/>
    <w:rsid w:val="002B7FBD"/>
    <w:rsid w:val="00365B59"/>
    <w:rsid w:val="003A51DA"/>
    <w:rsid w:val="003B7228"/>
    <w:rsid w:val="00415ABC"/>
    <w:rsid w:val="004670D6"/>
    <w:rsid w:val="00494031"/>
    <w:rsid w:val="004B055B"/>
    <w:rsid w:val="004D4B17"/>
    <w:rsid w:val="00520915"/>
    <w:rsid w:val="00545616"/>
    <w:rsid w:val="00546335"/>
    <w:rsid w:val="00574DBE"/>
    <w:rsid w:val="005F56E2"/>
    <w:rsid w:val="00626CC9"/>
    <w:rsid w:val="00630B97"/>
    <w:rsid w:val="006721AA"/>
    <w:rsid w:val="006B3ED2"/>
    <w:rsid w:val="006B7557"/>
    <w:rsid w:val="006C46BB"/>
    <w:rsid w:val="006F0942"/>
    <w:rsid w:val="00704413"/>
    <w:rsid w:val="00737A30"/>
    <w:rsid w:val="00744549"/>
    <w:rsid w:val="00784B0B"/>
    <w:rsid w:val="00787CAC"/>
    <w:rsid w:val="007A7125"/>
    <w:rsid w:val="007C536F"/>
    <w:rsid w:val="007E733F"/>
    <w:rsid w:val="00892754"/>
    <w:rsid w:val="008A7A88"/>
    <w:rsid w:val="008C510A"/>
    <w:rsid w:val="00912DCD"/>
    <w:rsid w:val="0093264E"/>
    <w:rsid w:val="00946F1A"/>
    <w:rsid w:val="00957F16"/>
    <w:rsid w:val="009C341E"/>
    <w:rsid w:val="009C4CEC"/>
    <w:rsid w:val="00A842D3"/>
    <w:rsid w:val="00A9210D"/>
    <w:rsid w:val="00AD27A3"/>
    <w:rsid w:val="00B529BD"/>
    <w:rsid w:val="00B561DF"/>
    <w:rsid w:val="00B61F3C"/>
    <w:rsid w:val="00B65120"/>
    <w:rsid w:val="00B8773B"/>
    <w:rsid w:val="00BE4331"/>
    <w:rsid w:val="00BE5C48"/>
    <w:rsid w:val="00C112F5"/>
    <w:rsid w:val="00C73FE4"/>
    <w:rsid w:val="00C814DF"/>
    <w:rsid w:val="00C8226A"/>
    <w:rsid w:val="00C86468"/>
    <w:rsid w:val="00C91EF3"/>
    <w:rsid w:val="00CC0C57"/>
    <w:rsid w:val="00D252FB"/>
    <w:rsid w:val="00D75DF2"/>
    <w:rsid w:val="00DA5BB5"/>
    <w:rsid w:val="00DB0A0F"/>
    <w:rsid w:val="00DD16AB"/>
    <w:rsid w:val="00DD26B7"/>
    <w:rsid w:val="00DD34EF"/>
    <w:rsid w:val="00DD5810"/>
    <w:rsid w:val="00E0443C"/>
    <w:rsid w:val="00E102EF"/>
    <w:rsid w:val="00E14DF4"/>
    <w:rsid w:val="00E158E5"/>
    <w:rsid w:val="00E23220"/>
    <w:rsid w:val="00E30CAF"/>
    <w:rsid w:val="00E32626"/>
    <w:rsid w:val="00E337DD"/>
    <w:rsid w:val="00E55531"/>
    <w:rsid w:val="00E67E44"/>
    <w:rsid w:val="00E73B1D"/>
    <w:rsid w:val="00E73E66"/>
    <w:rsid w:val="00E91D4F"/>
    <w:rsid w:val="00EA55B3"/>
    <w:rsid w:val="00EB6C68"/>
    <w:rsid w:val="00EE3F9E"/>
    <w:rsid w:val="00F17645"/>
    <w:rsid w:val="00F255EA"/>
    <w:rsid w:val="00F378C0"/>
    <w:rsid w:val="00F922FD"/>
    <w:rsid w:val="00F96E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F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F1A"/>
  </w:style>
  <w:style w:type="paragraph" w:styleId="Footer">
    <w:name w:val="footer"/>
    <w:basedOn w:val="Normal"/>
    <w:link w:val="FooterChar"/>
    <w:uiPriority w:val="99"/>
    <w:unhideWhenUsed/>
    <w:rsid w:val="00946F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F1A"/>
  </w:style>
  <w:style w:type="paragraph" w:styleId="BalloonText">
    <w:name w:val="Balloon Text"/>
    <w:basedOn w:val="Normal"/>
    <w:link w:val="BalloonTextChar"/>
    <w:uiPriority w:val="99"/>
    <w:semiHidden/>
    <w:unhideWhenUsed/>
    <w:rsid w:val="00946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F1A"/>
    <w:rPr>
      <w:rFonts w:ascii="Tahoma" w:hAnsi="Tahoma" w:cs="Tahoma"/>
      <w:sz w:val="16"/>
      <w:szCs w:val="16"/>
    </w:rPr>
  </w:style>
  <w:style w:type="table" w:styleId="TableGrid">
    <w:name w:val="Table Grid"/>
    <w:basedOn w:val="TableNormal"/>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E5"/>
    <w:rPr>
      <w:sz w:val="16"/>
      <w:szCs w:val="16"/>
    </w:rPr>
  </w:style>
  <w:style w:type="paragraph" w:styleId="CommentText">
    <w:name w:val="annotation text"/>
    <w:basedOn w:val="Normal"/>
    <w:link w:val="CommentTextChar"/>
    <w:uiPriority w:val="99"/>
    <w:semiHidden/>
    <w:unhideWhenUsed/>
    <w:rsid w:val="00E158E5"/>
    <w:pPr>
      <w:spacing w:line="240" w:lineRule="auto"/>
    </w:pPr>
    <w:rPr>
      <w:sz w:val="20"/>
      <w:szCs w:val="20"/>
    </w:rPr>
  </w:style>
  <w:style w:type="character" w:customStyle="1" w:styleId="CommentTextChar">
    <w:name w:val="Comment Text Char"/>
    <w:basedOn w:val="DefaultParagraphFont"/>
    <w:link w:val="CommentText"/>
    <w:uiPriority w:val="99"/>
    <w:semiHidden/>
    <w:rsid w:val="00E158E5"/>
    <w:rPr>
      <w:sz w:val="20"/>
      <w:szCs w:val="20"/>
    </w:rPr>
  </w:style>
  <w:style w:type="paragraph" w:styleId="CommentSubject">
    <w:name w:val="annotation subject"/>
    <w:basedOn w:val="CommentText"/>
    <w:next w:val="CommentText"/>
    <w:link w:val="CommentSubjectChar"/>
    <w:uiPriority w:val="99"/>
    <w:semiHidden/>
    <w:unhideWhenUsed/>
    <w:rsid w:val="00E158E5"/>
    <w:rPr>
      <w:b/>
      <w:bCs/>
    </w:rPr>
  </w:style>
  <w:style w:type="character" w:customStyle="1" w:styleId="CommentSubjectChar">
    <w:name w:val="Comment Subject Char"/>
    <w:basedOn w:val="CommentTextChar"/>
    <w:link w:val="CommentSubject"/>
    <w:uiPriority w:val="99"/>
    <w:semiHidden/>
    <w:rsid w:val="00E158E5"/>
    <w:rPr>
      <w:b/>
      <w:bCs/>
      <w:sz w:val="20"/>
      <w:szCs w:val="20"/>
    </w:rPr>
  </w:style>
  <w:style w:type="paragraph" w:styleId="ListParagraph">
    <w:name w:val="List Paragraph"/>
    <w:basedOn w:val="Normal"/>
    <w:uiPriority w:val="34"/>
    <w:qFormat/>
    <w:rsid w:val="00B6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4186">
      <w:bodyDiv w:val="1"/>
      <w:marLeft w:val="0"/>
      <w:marRight w:val="0"/>
      <w:marTop w:val="0"/>
      <w:marBottom w:val="0"/>
      <w:divBdr>
        <w:top w:val="none" w:sz="0" w:space="0" w:color="auto"/>
        <w:left w:val="none" w:sz="0" w:space="0" w:color="auto"/>
        <w:bottom w:val="none" w:sz="0" w:space="0" w:color="auto"/>
        <w:right w:val="none" w:sz="0" w:space="0" w:color="auto"/>
      </w:divBdr>
    </w:div>
    <w:div w:id="187915199">
      <w:bodyDiv w:val="1"/>
      <w:marLeft w:val="0"/>
      <w:marRight w:val="0"/>
      <w:marTop w:val="0"/>
      <w:marBottom w:val="0"/>
      <w:divBdr>
        <w:top w:val="none" w:sz="0" w:space="0" w:color="auto"/>
        <w:left w:val="none" w:sz="0" w:space="0" w:color="auto"/>
        <w:bottom w:val="none" w:sz="0" w:space="0" w:color="auto"/>
        <w:right w:val="none" w:sz="0" w:space="0" w:color="auto"/>
      </w:divBdr>
      <w:divsChild>
        <w:div w:id="1690064679">
          <w:marLeft w:val="0"/>
          <w:marRight w:val="0"/>
          <w:marTop w:val="0"/>
          <w:marBottom w:val="0"/>
          <w:divBdr>
            <w:top w:val="none" w:sz="0" w:space="0" w:color="auto"/>
            <w:left w:val="none" w:sz="0" w:space="0" w:color="auto"/>
            <w:bottom w:val="none" w:sz="0" w:space="0" w:color="auto"/>
            <w:right w:val="none" w:sz="0" w:space="0" w:color="auto"/>
          </w:divBdr>
          <w:divsChild>
            <w:div w:id="6812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0056">
      <w:bodyDiv w:val="1"/>
      <w:marLeft w:val="0"/>
      <w:marRight w:val="0"/>
      <w:marTop w:val="0"/>
      <w:marBottom w:val="0"/>
      <w:divBdr>
        <w:top w:val="none" w:sz="0" w:space="0" w:color="auto"/>
        <w:left w:val="none" w:sz="0" w:space="0" w:color="auto"/>
        <w:bottom w:val="none" w:sz="0" w:space="0" w:color="auto"/>
        <w:right w:val="none" w:sz="0" w:space="0" w:color="auto"/>
      </w:divBdr>
      <w:divsChild>
        <w:div w:id="1788500725">
          <w:marLeft w:val="0"/>
          <w:marRight w:val="0"/>
          <w:marTop w:val="0"/>
          <w:marBottom w:val="0"/>
          <w:divBdr>
            <w:top w:val="none" w:sz="0" w:space="0" w:color="auto"/>
            <w:left w:val="none" w:sz="0" w:space="0" w:color="auto"/>
            <w:bottom w:val="none" w:sz="0" w:space="0" w:color="auto"/>
            <w:right w:val="none" w:sz="0" w:space="0" w:color="auto"/>
          </w:divBdr>
          <w:divsChild>
            <w:div w:id="3649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Tes Tea</cp:lastModifiedBy>
  <cp:revision>2</cp:revision>
  <cp:lastPrinted>2018-01-26T13:45:00Z</cp:lastPrinted>
  <dcterms:created xsi:type="dcterms:W3CDTF">2024-04-26T11:27:00Z</dcterms:created>
  <dcterms:modified xsi:type="dcterms:W3CDTF">2024-04-26T11:27:00Z</dcterms:modified>
</cp:coreProperties>
</file>