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6C31" w14:textId="1BA2E350" w:rsidR="0086286F" w:rsidRDefault="0086286F" w:rsidP="0086286F">
      <w:pPr>
        <w:pStyle w:val="Bezproreda"/>
        <w:jc w:val="center"/>
        <w:rPr>
          <w:rFonts w:ascii="Arial" w:hAnsi="Arial" w:cs="Arial"/>
          <w:b/>
          <w:sz w:val="24"/>
          <w:szCs w:val="24"/>
          <w:lang w:eastAsia="hr-HR"/>
        </w:rPr>
      </w:pPr>
      <w:r w:rsidRPr="00317CBB">
        <w:rPr>
          <w:rFonts w:ascii="Arial" w:hAnsi="Arial" w:cs="Arial"/>
          <w:b/>
          <w:sz w:val="24"/>
          <w:szCs w:val="24"/>
          <w:lang w:eastAsia="hr-HR"/>
        </w:rPr>
        <w:t>O</w:t>
      </w:r>
      <w:r>
        <w:rPr>
          <w:rFonts w:ascii="Arial" w:hAnsi="Arial" w:cs="Arial"/>
          <w:b/>
          <w:sz w:val="24"/>
          <w:szCs w:val="24"/>
          <w:lang w:eastAsia="hr-HR"/>
        </w:rPr>
        <w:t>BRAZLOŽENJE</w:t>
      </w:r>
    </w:p>
    <w:p w14:paraId="720A6464" w14:textId="04ED6C44" w:rsidR="0086286F" w:rsidRPr="0086286F" w:rsidRDefault="002F35B7" w:rsidP="0086286F">
      <w:pPr>
        <w:pStyle w:val="Bezproreda"/>
        <w:jc w:val="center"/>
        <w:rPr>
          <w:rFonts w:ascii="Arial" w:hAnsi="Arial" w:cs="Arial"/>
          <w:bCs/>
          <w:sz w:val="24"/>
          <w:szCs w:val="24"/>
          <w:lang w:eastAsia="hr-HR"/>
        </w:rPr>
      </w:pPr>
      <w:r>
        <w:rPr>
          <w:rFonts w:ascii="Arial" w:hAnsi="Arial" w:cs="Arial"/>
          <w:bCs/>
          <w:sz w:val="24"/>
          <w:szCs w:val="24"/>
          <w:lang w:eastAsia="hr-HR"/>
        </w:rPr>
        <w:t>p</w:t>
      </w:r>
      <w:r w:rsidR="009B74D2" w:rsidRPr="0086286F">
        <w:rPr>
          <w:rFonts w:ascii="Arial" w:hAnsi="Arial" w:cs="Arial"/>
          <w:bCs/>
          <w:sz w:val="24"/>
          <w:szCs w:val="24"/>
          <w:lang w:eastAsia="hr-HR"/>
        </w:rPr>
        <w:t xml:space="preserve">rijedloga </w:t>
      </w:r>
      <w:r w:rsidR="009B74D2">
        <w:rPr>
          <w:rFonts w:ascii="Arial" w:hAnsi="Arial" w:cs="Arial"/>
          <w:bCs/>
          <w:sz w:val="24"/>
          <w:szCs w:val="24"/>
          <w:lang w:eastAsia="hr-HR"/>
        </w:rPr>
        <w:t>O</w:t>
      </w:r>
      <w:r w:rsidR="009B74D2" w:rsidRPr="0086286F">
        <w:rPr>
          <w:rFonts w:ascii="Arial" w:hAnsi="Arial" w:cs="Arial"/>
          <w:bCs/>
          <w:sz w:val="24"/>
          <w:szCs w:val="24"/>
          <w:lang w:eastAsia="hr-HR"/>
        </w:rPr>
        <w:t xml:space="preserve">dluke o donošenju </w:t>
      </w:r>
      <w:r w:rsidR="009B74D2">
        <w:rPr>
          <w:rFonts w:ascii="Arial" w:hAnsi="Arial" w:cs="Arial"/>
          <w:bCs/>
          <w:sz w:val="24"/>
          <w:szCs w:val="24"/>
          <w:lang w:eastAsia="hr-HR"/>
        </w:rPr>
        <w:t>Plana rasvjete Grada Kastva</w:t>
      </w:r>
    </w:p>
    <w:p w14:paraId="083080BC" w14:textId="49292AF2" w:rsidR="00921C74" w:rsidRDefault="00921C74"/>
    <w:p w14:paraId="6C30A6A2" w14:textId="145C9DEB" w:rsidR="00C74775" w:rsidRDefault="00C74775" w:rsidP="00C74775">
      <w:pPr>
        <w:ind w:left="-20" w:right="-20"/>
        <w:jc w:val="both"/>
        <w:rPr>
          <w:rFonts w:ascii="Arial" w:hAnsi="Arial" w:cs="Arial"/>
          <w:bCs/>
          <w:kern w:val="0"/>
          <w:lang w:eastAsia="hr-HR"/>
        </w:rPr>
      </w:pPr>
      <w:r w:rsidRPr="00C74775">
        <w:rPr>
          <w:rFonts w:ascii="Arial" w:hAnsi="Arial" w:cs="Arial"/>
          <w:bCs/>
          <w:kern w:val="0"/>
          <w:lang w:eastAsia="hr-HR"/>
        </w:rPr>
        <w:t xml:space="preserve">Izrada i donošenje Plana rasvjete Grada </w:t>
      </w:r>
      <w:r>
        <w:rPr>
          <w:rFonts w:ascii="Arial" w:hAnsi="Arial" w:cs="Arial"/>
          <w:bCs/>
          <w:kern w:val="0"/>
          <w:lang w:eastAsia="hr-HR"/>
        </w:rPr>
        <w:t>Kastva</w:t>
      </w:r>
      <w:r w:rsidRPr="00C74775">
        <w:rPr>
          <w:rFonts w:ascii="Arial" w:hAnsi="Arial" w:cs="Arial"/>
          <w:bCs/>
          <w:kern w:val="0"/>
          <w:lang w:eastAsia="hr-HR"/>
        </w:rPr>
        <w:t xml:space="preserve"> (u nastavku teksta: Plan) temelji se na odredbama članka 12. stavka 3.</w:t>
      </w:r>
      <w:r w:rsidR="002F3990">
        <w:rPr>
          <w:rFonts w:ascii="Arial" w:hAnsi="Arial" w:cs="Arial"/>
          <w:bCs/>
          <w:kern w:val="0"/>
          <w:lang w:eastAsia="hr-HR"/>
        </w:rPr>
        <w:t xml:space="preserve"> i</w:t>
      </w:r>
      <w:r w:rsidRPr="00C74775">
        <w:rPr>
          <w:rFonts w:ascii="Arial" w:hAnsi="Arial" w:cs="Arial"/>
          <w:bCs/>
          <w:kern w:val="0"/>
          <w:lang w:eastAsia="hr-HR"/>
        </w:rPr>
        <w:t xml:space="preserve"> članka 28. Zakona o zaštiti od svjetlosnog onečišćenja (</w:t>
      </w:r>
      <w:r>
        <w:rPr>
          <w:rFonts w:ascii="Arial" w:hAnsi="Arial" w:cs="Arial"/>
          <w:bCs/>
          <w:kern w:val="0"/>
          <w:lang w:eastAsia="hr-HR"/>
        </w:rPr>
        <w:t>NN</w:t>
      </w:r>
      <w:r w:rsidRPr="00C74775">
        <w:rPr>
          <w:rFonts w:ascii="Arial" w:hAnsi="Arial" w:cs="Arial"/>
          <w:bCs/>
          <w:kern w:val="0"/>
          <w:lang w:eastAsia="hr-HR"/>
        </w:rPr>
        <w:t xml:space="preserve"> 14/19</w:t>
      </w:r>
      <w:r>
        <w:rPr>
          <w:rFonts w:ascii="Arial" w:hAnsi="Arial" w:cs="Arial"/>
          <w:bCs/>
          <w:kern w:val="0"/>
          <w:lang w:eastAsia="hr-HR"/>
        </w:rPr>
        <w:t>)(</w:t>
      </w:r>
      <w:r w:rsidRPr="00C74775">
        <w:rPr>
          <w:rFonts w:ascii="Arial" w:hAnsi="Arial" w:cs="Arial"/>
          <w:bCs/>
          <w:kern w:val="0"/>
          <w:lang w:eastAsia="hr-HR"/>
        </w:rPr>
        <w:t xml:space="preserve">u </w:t>
      </w:r>
      <w:r>
        <w:rPr>
          <w:rFonts w:ascii="Arial" w:hAnsi="Arial" w:cs="Arial"/>
          <w:bCs/>
          <w:kern w:val="0"/>
          <w:lang w:eastAsia="hr-HR"/>
        </w:rPr>
        <w:t>daljnjem tekstu</w:t>
      </w:r>
      <w:r w:rsidRPr="00C74775">
        <w:rPr>
          <w:rFonts w:ascii="Arial" w:hAnsi="Arial" w:cs="Arial"/>
          <w:bCs/>
          <w:kern w:val="0"/>
          <w:lang w:eastAsia="hr-HR"/>
        </w:rPr>
        <w:t>: Zakon)</w:t>
      </w:r>
      <w:r w:rsidR="002F3990">
        <w:rPr>
          <w:rFonts w:ascii="Arial" w:hAnsi="Arial" w:cs="Arial"/>
          <w:bCs/>
          <w:kern w:val="0"/>
          <w:lang w:eastAsia="hr-HR"/>
        </w:rPr>
        <w:t xml:space="preserve"> te</w:t>
      </w:r>
      <w:r w:rsidRPr="00C74775">
        <w:rPr>
          <w:rFonts w:ascii="Arial" w:hAnsi="Arial" w:cs="Arial"/>
          <w:bCs/>
          <w:kern w:val="0"/>
          <w:lang w:eastAsia="hr-HR"/>
        </w:rPr>
        <w:t xml:space="preserve"> članka 14. </w:t>
      </w:r>
      <w:bookmarkStart w:id="0" w:name="_Hlk187836057"/>
      <w:r w:rsidRPr="00C74775">
        <w:rPr>
          <w:rFonts w:ascii="Arial" w:hAnsi="Arial" w:cs="Arial"/>
          <w:bCs/>
          <w:kern w:val="0"/>
          <w:lang w:eastAsia="hr-HR"/>
        </w:rPr>
        <w:t>Pravilnika o sadržaju, formatu i načinu izrade plana rasvjete i akcijskog plana gradnje i/ili rekonstrukcije vanjske rasvjete (</w:t>
      </w:r>
      <w:r>
        <w:rPr>
          <w:rFonts w:ascii="Arial" w:hAnsi="Arial" w:cs="Arial"/>
          <w:bCs/>
          <w:kern w:val="0"/>
          <w:lang w:eastAsia="hr-HR"/>
        </w:rPr>
        <w:t>NN</w:t>
      </w:r>
      <w:r w:rsidRPr="00C74775">
        <w:rPr>
          <w:rFonts w:ascii="Arial" w:hAnsi="Arial" w:cs="Arial"/>
          <w:bCs/>
          <w:kern w:val="0"/>
          <w:lang w:eastAsia="hr-HR"/>
        </w:rPr>
        <w:t xml:space="preserve"> 22/23</w:t>
      </w:r>
      <w:bookmarkEnd w:id="0"/>
      <w:r>
        <w:rPr>
          <w:rFonts w:ascii="Arial" w:hAnsi="Arial" w:cs="Arial"/>
          <w:bCs/>
          <w:kern w:val="0"/>
          <w:lang w:eastAsia="hr-HR"/>
        </w:rPr>
        <w:t>)(</w:t>
      </w:r>
      <w:r w:rsidRPr="00C74775">
        <w:rPr>
          <w:rFonts w:ascii="Arial" w:hAnsi="Arial" w:cs="Arial"/>
          <w:bCs/>
          <w:kern w:val="0"/>
          <w:lang w:eastAsia="hr-HR"/>
        </w:rPr>
        <w:t xml:space="preserve">u </w:t>
      </w:r>
      <w:r>
        <w:rPr>
          <w:rFonts w:ascii="Arial" w:hAnsi="Arial" w:cs="Arial"/>
          <w:bCs/>
          <w:kern w:val="0"/>
          <w:lang w:eastAsia="hr-HR"/>
        </w:rPr>
        <w:t>daljnjem</w:t>
      </w:r>
      <w:r w:rsidRPr="00C74775">
        <w:rPr>
          <w:rFonts w:ascii="Arial" w:hAnsi="Arial" w:cs="Arial"/>
          <w:bCs/>
          <w:kern w:val="0"/>
          <w:lang w:eastAsia="hr-HR"/>
        </w:rPr>
        <w:t xml:space="preserve"> tekst</w:t>
      </w:r>
      <w:r>
        <w:rPr>
          <w:rFonts w:ascii="Arial" w:hAnsi="Arial" w:cs="Arial"/>
          <w:bCs/>
          <w:kern w:val="0"/>
          <w:lang w:eastAsia="hr-HR"/>
        </w:rPr>
        <w:t>u</w:t>
      </w:r>
      <w:r w:rsidRPr="00C74775">
        <w:rPr>
          <w:rFonts w:ascii="Arial" w:hAnsi="Arial" w:cs="Arial"/>
          <w:bCs/>
          <w:kern w:val="0"/>
          <w:lang w:eastAsia="hr-HR"/>
        </w:rPr>
        <w:t>: Pravilnik) i posredno članaka 1. do 15. Pravilnika te Pravilnika o zonama rasvijetljenosti, dopuštenim vrijednostima rasvjetljavanja i načinima upravljanja rasvjetnim sustavima (</w:t>
      </w:r>
      <w:r>
        <w:rPr>
          <w:rFonts w:ascii="Arial" w:hAnsi="Arial" w:cs="Arial"/>
          <w:bCs/>
          <w:kern w:val="0"/>
          <w:lang w:eastAsia="hr-HR"/>
        </w:rPr>
        <w:t>NN</w:t>
      </w:r>
      <w:r w:rsidRPr="00C74775">
        <w:rPr>
          <w:rFonts w:ascii="Arial" w:hAnsi="Arial" w:cs="Arial"/>
          <w:bCs/>
          <w:kern w:val="0"/>
          <w:lang w:eastAsia="hr-HR"/>
        </w:rPr>
        <w:t xml:space="preserve"> 128/20</w:t>
      </w:r>
      <w:r>
        <w:rPr>
          <w:rFonts w:ascii="Arial" w:hAnsi="Arial" w:cs="Arial"/>
          <w:bCs/>
          <w:kern w:val="0"/>
          <w:lang w:eastAsia="hr-HR"/>
        </w:rPr>
        <w:t>)(</w:t>
      </w:r>
      <w:r w:rsidRPr="00C74775">
        <w:rPr>
          <w:rFonts w:ascii="Arial" w:hAnsi="Arial" w:cs="Arial"/>
          <w:bCs/>
          <w:kern w:val="0"/>
          <w:lang w:eastAsia="hr-HR"/>
        </w:rPr>
        <w:t xml:space="preserve">u </w:t>
      </w:r>
      <w:r>
        <w:rPr>
          <w:rFonts w:ascii="Arial" w:hAnsi="Arial" w:cs="Arial"/>
          <w:bCs/>
          <w:kern w:val="0"/>
          <w:lang w:eastAsia="hr-HR"/>
        </w:rPr>
        <w:t>daljnjem</w:t>
      </w:r>
      <w:r w:rsidRPr="00C74775">
        <w:rPr>
          <w:rFonts w:ascii="Arial" w:hAnsi="Arial" w:cs="Arial"/>
          <w:bCs/>
          <w:kern w:val="0"/>
          <w:lang w:eastAsia="hr-HR"/>
        </w:rPr>
        <w:t xml:space="preserve"> tekst</w:t>
      </w:r>
      <w:r>
        <w:rPr>
          <w:rFonts w:ascii="Arial" w:hAnsi="Arial" w:cs="Arial"/>
          <w:bCs/>
          <w:kern w:val="0"/>
          <w:lang w:eastAsia="hr-HR"/>
        </w:rPr>
        <w:t>u</w:t>
      </w:r>
      <w:r w:rsidRPr="00C74775">
        <w:rPr>
          <w:rFonts w:ascii="Arial" w:hAnsi="Arial" w:cs="Arial"/>
          <w:bCs/>
          <w:kern w:val="0"/>
          <w:lang w:eastAsia="hr-HR"/>
        </w:rPr>
        <w:t>: Pravilnik o zonama rasvijetljenosti).</w:t>
      </w:r>
    </w:p>
    <w:p w14:paraId="0437E760" w14:textId="77777777" w:rsidR="00C74775" w:rsidRPr="00AC23B1" w:rsidRDefault="00C74775" w:rsidP="00C74775">
      <w:pPr>
        <w:ind w:left="-20" w:right="-20"/>
        <w:jc w:val="both"/>
        <w:rPr>
          <w:rFonts w:ascii="Arial" w:hAnsi="Arial" w:cs="Arial"/>
        </w:rPr>
      </w:pPr>
      <w:r w:rsidRPr="00AC23B1">
        <w:rPr>
          <w:rFonts w:ascii="Arial" w:hAnsi="Arial" w:cs="Arial"/>
        </w:rPr>
        <w:t>Zaštitom od svjetlosnog onečišćenja osigurava se zaštita ljudskog zdravlja, cjelovito očuvanje kvalitete okoliša, očuvanje bioraznolikosti i krajobrazne raznolikosti, očuvanje ekološke stabilnosti, zaštita biljnog i životinjskog svijeta, racionalno korištenje prirodnih dobara i energije na najpovoljniji način za okoliš kao osnovnog uvjeta javnog zdravstva, zdravlja i temelja koncepta održivog razvitka. Zaštita od svjetlosnog onečišćenja se provodi po noći te danonoćno u prirodnim podzemnim (speleološkim) objektima. Jedan od propisanih ciljeva iz Zakona u smislu energetske učinkovitosti je smanjenje potrošnje električne energije za javnu rasvjetu.</w:t>
      </w:r>
    </w:p>
    <w:p w14:paraId="6FB3F6DC" w14:textId="77777777" w:rsidR="00C74775" w:rsidRPr="00AC23B1" w:rsidRDefault="00C74775" w:rsidP="00C74775">
      <w:pPr>
        <w:ind w:left="-20" w:right="-20"/>
        <w:jc w:val="both"/>
        <w:rPr>
          <w:rFonts w:ascii="Arial" w:hAnsi="Arial" w:cs="Arial"/>
        </w:rPr>
      </w:pPr>
      <w:r w:rsidRPr="00AC23B1">
        <w:rPr>
          <w:rFonts w:ascii="Arial" w:hAnsi="Arial" w:cs="Arial"/>
        </w:rPr>
        <w:t>Plan je po</w:t>
      </w:r>
      <w:r w:rsidRPr="00AC23B1">
        <w:rPr>
          <w:rFonts w:ascii="Arial" w:eastAsia="Calibri" w:hAnsi="Arial" w:cs="Arial"/>
        </w:rPr>
        <w:t xml:space="preserve">dloga za projekt vanjske rasvjete, a </w:t>
      </w:r>
      <w:r w:rsidRPr="00AC23B1">
        <w:rPr>
          <w:rFonts w:ascii="Arial" w:hAnsi="Arial" w:cs="Arial"/>
        </w:rPr>
        <w:t xml:space="preserve">donosi se radi optimizacije i boljeg planiranja vanjske rasvjete i ostvarenja ciljeva propisanih člankom 2. Zakona kojemu su glavni ciljevi  zaštita od svjetlosnog onečišćenja zbog emisija svjetlosti u okoliš iz umjetnih izvora kojima su izloženi ljudi, biljni i životinjski svijet u zraku i vodi, druga prirodna dobra, noćno nebo i zvjezdarnice, a s pomoću energetski učinkovitije rasvjete koja za ostvarenje predmetnih ciljeva koristi najbolje raspoložive tehnike te njihovu gospodarsku provedivost u skladu s načelima Zakona i sa zakonima kojima se uređuje područje zaštite okoliša i energetske učinkovitosti. </w:t>
      </w:r>
    </w:p>
    <w:p w14:paraId="66123D79" w14:textId="23A83D34" w:rsidR="00C74775" w:rsidRPr="00AC23B1" w:rsidRDefault="00C74775" w:rsidP="00C74775">
      <w:pPr>
        <w:ind w:left="-20" w:right="-20"/>
        <w:jc w:val="both"/>
        <w:rPr>
          <w:rFonts w:ascii="Arial" w:hAnsi="Arial" w:cs="Arial"/>
        </w:rPr>
      </w:pPr>
      <w:r w:rsidRPr="00AC23B1">
        <w:rPr>
          <w:rFonts w:ascii="Arial" w:hAnsi="Arial" w:cs="Arial"/>
        </w:rPr>
        <w:t>Slijedom toga, predloženom Odlukom kojom se predlaže donošenje Plana rasvjete Grada Kastva se definiraju zone rasvijetljenosti, određuje terminski plan rada rasvjete, daje prikaz bilance pokrivenosti zona rasvijetljenosti, vremenski plan rada rasvjete te se propisuju mjere zaštite posebno osjetljivih područja sve to radi sprječavanja prekomjernih emisija svjetlosti u okoliš, smanjivanja postojeće rasvijetljenosti okoliša na dopuštene vrijednosti te reguliranja režima rada rasvjetnih tijela, zatim najviše dopuštenih vrijednosti rasvjetljavanja, uvjeta za odabir i postavljanje svjetiljki, uvjeta i najviše dopuštenih vrijednosti korelirane temperature boje izvora svjetlosti te dostupnosti informacija vezanih uz gradnju i/ili rekonstrukcije vanjske rasvjete, a sukladno Zakonu o zaštiti od svjetlosnog onečišćenja, te podzakonskih propisa donesenih na temelju navedenog Zakona.</w:t>
      </w:r>
    </w:p>
    <w:p w14:paraId="64CD25FE" w14:textId="77777777" w:rsidR="00C74775" w:rsidRPr="00AC23B1" w:rsidRDefault="00C74775" w:rsidP="00C74775">
      <w:pPr>
        <w:ind w:left="-20" w:right="-20"/>
        <w:jc w:val="both"/>
        <w:rPr>
          <w:rFonts w:ascii="Arial" w:hAnsi="Arial" w:cs="Arial"/>
        </w:rPr>
      </w:pPr>
      <w:r w:rsidRPr="00AC23B1">
        <w:rPr>
          <w:rFonts w:ascii="Arial" w:hAnsi="Arial" w:cs="Arial"/>
        </w:rPr>
        <w:t xml:space="preserve">Sadržaj Plana je propisan Pravilnikom, a sastoji se od tekstualnog i grafičkog dijela i obveznih priloga. </w:t>
      </w:r>
    </w:p>
    <w:p w14:paraId="1F7C08A4" w14:textId="6F453D99" w:rsidR="0050061B" w:rsidRPr="00AC23B1" w:rsidRDefault="002F35B7" w:rsidP="0050061B">
      <w:pPr>
        <w:jc w:val="both"/>
        <w:rPr>
          <w:rFonts w:ascii="Arial" w:hAnsi="Arial" w:cs="Arial"/>
          <w:bCs/>
          <w:kern w:val="0"/>
          <w:lang w:eastAsia="hr-HR"/>
        </w:rPr>
      </w:pPr>
      <w:r>
        <w:rPr>
          <w:rFonts w:ascii="Arial" w:hAnsi="Arial" w:cs="Arial"/>
          <w:bCs/>
          <w:kern w:val="0"/>
          <w:lang w:eastAsia="hr-HR"/>
        </w:rPr>
        <w:lastRenderedPageBreak/>
        <w:t xml:space="preserve">Sukladno odredbama članka 12. stavak 7. Zakona te članka 11. </w:t>
      </w:r>
      <w:r w:rsidR="0050061B" w:rsidRPr="00AC23B1">
        <w:rPr>
          <w:rFonts w:ascii="Arial" w:hAnsi="Arial" w:cs="Arial"/>
          <w:bCs/>
          <w:kern w:val="0"/>
          <w:lang w:eastAsia="hr-HR"/>
        </w:rPr>
        <w:t xml:space="preserve">Zakona o pravu na pristup informacijama („Narodne novine“ broj 25/13, 85/15 i 69/22) </w:t>
      </w:r>
      <w:r>
        <w:rPr>
          <w:rFonts w:ascii="Arial" w:hAnsi="Arial" w:cs="Arial"/>
          <w:bCs/>
          <w:kern w:val="0"/>
          <w:lang w:eastAsia="hr-HR"/>
        </w:rPr>
        <w:t xml:space="preserve">o </w:t>
      </w:r>
      <w:r w:rsidR="0050061B" w:rsidRPr="00AC23B1">
        <w:rPr>
          <w:rFonts w:ascii="Arial" w:hAnsi="Arial" w:cs="Arial"/>
          <w:bCs/>
          <w:kern w:val="0"/>
          <w:lang w:eastAsia="hr-HR"/>
        </w:rPr>
        <w:t>prijedlog</w:t>
      </w:r>
      <w:r>
        <w:rPr>
          <w:rFonts w:ascii="Arial" w:hAnsi="Arial" w:cs="Arial"/>
          <w:bCs/>
          <w:kern w:val="0"/>
          <w:lang w:eastAsia="hr-HR"/>
        </w:rPr>
        <w:t>u Odluke odnosno Plana rasvjete provest će se</w:t>
      </w:r>
      <w:r w:rsidR="0050061B" w:rsidRPr="00AC23B1">
        <w:rPr>
          <w:rFonts w:ascii="Arial" w:hAnsi="Arial" w:cs="Arial"/>
          <w:bCs/>
          <w:kern w:val="0"/>
          <w:lang w:eastAsia="hr-HR"/>
        </w:rPr>
        <w:t xml:space="preserve"> savjetovanje s javnošću</w:t>
      </w:r>
      <w:r>
        <w:rPr>
          <w:rFonts w:ascii="Arial" w:hAnsi="Arial" w:cs="Arial"/>
          <w:bCs/>
          <w:kern w:val="0"/>
          <w:lang w:eastAsia="hr-HR"/>
        </w:rPr>
        <w:t xml:space="preserve"> u trajanju od 30 dana</w:t>
      </w:r>
      <w:r w:rsidR="0050061B" w:rsidRPr="00AC23B1">
        <w:rPr>
          <w:rFonts w:ascii="Arial" w:hAnsi="Arial" w:cs="Arial"/>
          <w:bCs/>
          <w:kern w:val="0"/>
          <w:lang w:eastAsia="hr-HR"/>
        </w:rPr>
        <w:t xml:space="preserve">. Po razmatranju te prihvaćanju ili odbijanju dobivenih primjedbi, </w:t>
      </w:r>
      <w:r>
        <w:rPr>
          <w:rFonts w:ascii="Arial" w:hAnsi="Arial" w:cs="Arial"/>
          <w:bCs/>
          <w:kern w:val="0"/>
          <w:lang w:eastAsia="hr-HR"/>
        </w:rPr>
        <w:t xml:space="preserve">Odluka o donošenju </w:t>
      </w:r>
      <w:r w:rsidR="00C74775" w:rsidRPr="00AC23B1">
        <w:rPr>
          <w:rFonts w:ascii="Arial" w:hAnsi="Arial" w:cs="Arial"/>
          <w:bCs/>
          <w:kern w:val="0"/>
          <w:lang w:eastAsia="hr-HR"/>
        </w:rPr>
        <w:t>Plan</w:t>
      </w:r>
      <w:r>
        <w:rPr>
          <w:rFonts w:ascii="Arial" w:hAnsi="Arial" w:cs="Arial"/>
          <w:bCs/>
          <w:kern w:val="0"/>
          <w:lang w:eastAsia="hr-HR"/>
        </w:rPr>
        <w:t>a</w:t>
      </w:r>
      <w:r w:rsidR="00C74775" w:rsidRPr="00AC23B1">
        <w:rPr>
          <w:rFonts w:ascii="Arial" w:hAnsi="Arial" w:cs="Arial"/>
          <w:bCs/>
          <w:kern w:val="0"/>
          <w:lang w:eastAsia="hr-HR"/>
        </w:rPr>
        <w:t xml:space="preserve"> rasvjete</w:t>
      </w:r>
      <w:r>
        <w:rPr>
          <w:rFonts w:ascii="Arial" w:hAnsi="Arial" w:cs="Arial"/>
          <w:bCs/>
          <w:kern w:val="0"/>
          <w:lang w:eastAsia="hr-HR"/>
        </w:rPr>
        <w:t xml:space="preserve"> Grada Kastva</w:t>
      </w:r>
      <w:r w:rsidR="0050061B" w:rsidRPr="00AC23B1">
        <w:rPr>
          <w:rFonts w:ascii="Arial" w:hAnsi="Arial" w:cs="Arial"/>
          <w:bCs/>
          <w:kern w:val="0"/>
          <w:lang w:eastAsia="hr-HR"/>
        </w:rPr>
        <w:t xml:space="preserve"> će biti upućen</w:t>
      </w:r>
      <w:r>
        <w:rPr>
          <w:rFonts w:ascii="Arial" w:hAnsi="Arial" w:cs="Arial"/>
          <w:bCs/>
          <w:kern w:val="0"/>
          <w:lang w:eastAsia="hr-HR"/>
        </w:rPr>
        <w:t>a</w:t>
      </w:r>
      <w:r w:rsidR="0050061B" w:rsidRPr="00AC23B1">
        <w:rPr>
          <w:rFonts w:ascii="Arial" w:hAnsi="Arial" w:cs="Arial"/>
          <w:bCs/>
          <w:kern w:val="0"/>
          <w:lang w:eastAsia="hr-HR"/>
        </w:rPr>
        <w:t xml:space="preserve"> Gradskom vijeću na donošenje.</w:t>
      </w:r>
    </w:p>
    <w:sectPr w:rsidR="0050061B" w:rsidRPr="00AC2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6F"/>
    <w:rsid w:val="00044D90"/>
    <w:rsid w:val="00176D01"/>
    <w:rsid w:val="00216C4E"/>
    <w:rsid w:val="0022376E"/>
    <w:rsid w:val="002F35B7"/>
    <w:rsid w:val="002F3990"/>
    <w:rsid w:val="0050061B"/>
    <w:rsid w:val="0086286F"/>
    <w:rsid w:val="00884C5C"/>
    <w:rsid w:val="00921C74"/>
    <w:rsid w:val="009B74D2"/>
    <w:rsid w:val="00AC23B1"/>
    <w:rsid w:val="00B75B99"/>
    <w:rsid w:val="00C74775"/>
    <w:rsid w:val="00C74B59"/>
    <w:rsid w:val="00CB30F0"/>
    <w:rsid w:val="00E44E31"/>
    <w:rsid w:val="00F1144F"/>
    <w:rsid w:val="00F801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B584"/>
  <w15:chartTrackingRefBased/>
  <w15:docId w15:val="{AF8F3600-721E-4DFB-AAC0-4CA7E8A9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75"/>
    <w:pPr>
      <w:spacing w:line="278" w:lineRule="auto"/>
    </w:pPr>
    <w:rPr>
      <w:sz w:val="24"/>
      <w:szCs w:val="24"/>
    </w:rPr>
  </w:style>
  <w:style w:type="paragraph" w:styleId="Naslov1">
    <w:name w:val="heading 1"/>
    <w:basedOn w:val="Normal"/>
    <w:next w:val="Normal"/>
    <w:link w:val="Naslov1Char"/>
    <w:uiPriority w:val="9"/>
    <w:qFormat/>
    <w:rsid w:val="0086286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6286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6286F"/>
    <w:pPr>
      <w:keepNext/>
      <w:keepLines/>
      <w:spacing w:before="160" w:after="80" w:line="259" w:lineRule="auto"/>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6286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Naslov5">
    <w:name w:val="heading 5"/>
    <w:basedOn w:val="Normal"/>
    <w:next w:val="Normal"/>
    <w:link w:val="Naslov5Char"/>
    <w:uiPriority w:val="9"/>
    <w:semiHidden/>
    <w:unhideWhenUsed/>
    <w:qFormat/>
    <w:rsid w:val="0086286F"/>
    <w:pPr>
      <w:keepNext/>
      <w:keepLines/>
      <w:spacing w:before="80" w:after="40" w:line="259" w:lineRule="auto"/>
      <w:outlineLvl w:val="4"/>
    </w:pPr>
    <w:rPr>
      <w:rFonts w:eastAsiaTheme="majorEastAsia" w:cstheme="majorBidi"/>
      <w:color w:val="0F4761" w:themeColor="accent1" w:themeShade="BF"/>
      <w:sz w:val="22"/>
      <w:szCs w:val="22"/>
    </w:rPr>
  </w:style>
  <w:style w:type="paragraph" w:styleId="Naslov6">
    <w:name w:val="heading 6"/>
    <w:basedOn w:val="Normal"/>
    <w:next w:val="Normal"/>
    <w:link w:val="Naslov6Char"/>
    <w:uiPriority w:val="9"/>
    <w:semiHidden/>
    <w:unhideWhenUsed/>
    <w:qFormat/>
    <w:rsid w:val="0086286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Naslov7">
    <w:name w:val="heading 7"/>
    <w:basedOn w:val="Normal"/>
    <w:next w:val="Normal"/>
    <w:link w:val="Naslov7Char"/>
    <w:uiPriority w:val="9"/>
    <w:semiHidden/>
    <w:unhideWhenUsed/>
    <w:qFormat/>
    <w:rsid w:val="0086286F"/>
    <w:pPr>
      <w:keepNext/>
      <w:keepLines/>
      <w:spacing w:before="40" w:after="0" w:line="259" w:lineRule="auto"/>
      <w:outlineLvl w:val="6"/>
    </w:pPr>
    <w:rPr>
      <w:rFonts w:eastAsiaTheme="majorEastAsia" w:cstheme="majorBidi"/>
      <w:color w:val="595959" w:themeColor="text1" w:themeTint="A6"/>
      <w:sz w:val="22"/>
      <w:szCs w:val="22"/>
    </w:rPr>
  </w:style>
  <w:style w:type="paragraph" w:styleId="Naslov8">
    <w:name w:val="heading 8"/>
    <w:basedOn w:val="Normal"/>
    <w:next w:val="Normal"/>
    <w:link w:val="Naslov8Char"/>
    <w:uiPriority w:val="9"/>
    <w:semiHidden/>
    <w:unhideWhenUsed/>
    <w:qFormat/>
    <w:rsid w:val="0086286F"/>
    <w:pPr>
      <w:keepNext/>
      <w:keepLines/>
      <w:spacing w:after="0" w:line="259" w:lineRule="auto"/>
      <w:outlineLvl w:val="7"/>
    </w:pPr>
    <w:rPr>
      <w:rFonts w:eastAsiaTheme="majorEastAsia" w:cstheme="majorBidi"/>
      <w:i/>
      <w:iCs/>
      <w:color w:val="272727" w:themeColor="text1" w:themeTint="D8"/>
      <w:sz w:val="22"/>
      <w:szCs w:val="22"/>
    </w:rPr>
  </w:style>
  <w:style w:type="paragraph" w:styleId="Naslov9">
    <w:name w:val="heading 9"/>
    <w:basedOn w:val="Normal"/>
    <w:next w:val="Normal"/>
    <w:link w:val="Naslov9Char"/>
    <w:uiPriority w:val="9"/>
    <w:semiHidden/>
    <w:unhideWhenUsed/>
    <w:qFormat/>
    <w:rsid w:val="0086286F"/>
    <w:pPr>
      <w:keepNext/>
      <w:keepLines/>
      <w:spacing w:after="0" w:line="259" w:lineRule="auto"/>
      <w:outlineLvl w:val="8"/>
    </w:pPr>
    <w:rPr>
      <w:rFonts w:eastAsiaTheme="majorEastAsia" w:cstheme="majorBidi"/>
      <w:color w:val="272727" w:themeColor="text1" w:themeTint="D8"/>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6286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6286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6286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6286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6286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6286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6286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6286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6286F"/>
    <w:rPr>
      <w:rFonts w:eastAsiaTheme="majorEastAsia" w:cstheme="majorBidi"/>
      <w:color w:val="272727" w:themeColor="text1" w:themeTint="D8"/>
    </w:rPr>
  </w:style>
  <w:style w:type="paragraph" w:styleId="Naslov">
    <w:name w:val="Title"/>
    <w:basedOn w:val="Normal"/>
    <w:next w:val="Normal"/>
    <w:link w:val="NaslovChar"/>
    <w:uiPriority w:val="10"/>
    <w:qFormat/>
    <w:rsid w:val="00862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6286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6286F"/>
    <w:pPr>
      <w:numPr>
        <w:ilvl w:val="1"/>
      </w:numPr>
      <w:spacing w:line="259" w:lineRule="auto"/>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6286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286F"/>
    <w:pPr>
      <w:spacing w:before="160" w:line="259" w:lineRule="auto"/>
      <w:jc w:val="center"/>
    </w:pPr>
    <w:rPr>
      <w:i/>
      <w:iCs/>
      <w:color w:val="404040" w:themeColor="text1" w:themeTint="BF"/>
      <w:sz w:val="22"/>
      <w:szCs w:val="22"/>
    </w:rPr>
  </w:style>
  <w:style w:type="character" w:customStyle="1" w:styleId="CitatChar">
    <w:name w:val="Citat Char"/>
    <w:basedOn w:val="Zadanifontodlomka"/>
    <w:link w:val="Citat"/>
    <w:uiPriority w:val="29"/>
    <w:rsid w:val="0086286F"/>
    <w:rPr>
      <w:i/>
      <w:iCs/>
      <w:color w:val="404040" w:themeColor="text1" w:themeTint="BF"/>
    </w:rPr>
  </w:style>
  <w:style w:type="paragraph" w:styleId="Odlomakpopisa">
    <w:name w:val="List Paragraph"/>
    <w:basedOn w:val="Normal"/>
    <w:uiPriority w:val="34"/>
    <w:qFormat/>
    <w:rsid w:val="0086286F"/>
    <w:pPr>
      <w:spacing w:line="259" w:lineRule="auto"/>
      <w:ind w:left="720"/>
      <w:contextualSpacing/>
    </w:pPr>
    <w:rPr>
      <w:sz w:val="22"/>
      <w:szCs w:val="22"/>
    </w:rPr>
  </w:style>
  <w:style w:type="character" w:styleId="Jakoisticanje">
    <w:name w:val="Intense Emphasis"/>
    <w:basedOn w:val="Zadanifontodlomka"/>
    <w:uiPriority w:val="21"/>
    <w:qFormat/>
    <w:rsid w:val="0086286F"/>
    <w:rPr>
      <w:i/>
      <w:iCs/>
      <w:color w:val="0F4761" w:themeColor="accent1" w:themeShade="BF"/>
    </w:rPr>
  </w:style>
  <w:style w:type="paragraph" w:styleId="Naglaencitat">
    <w:name w:val="Intense Quote"/>
    <w:basedOn w:val="Normal"/>
    <w:next w:val="Normal"/>
    <w:link w:val="NaglaencitatChar"/>
    <w:uiPriority w:val="30"/>
    <w:qFormat/>
    <w:rsid w:val="0086286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NaglaencitatChar">
    <w:name w:val="Naglašen citat Char"/>
    <w:basedOn w:val="Zadanifontodlomka"/>
    <w:link w:val="Naglaencitat"/>
    <w:uiPriority w:val="30"/>
    <w:rsid w:val="0086286F"/>
    <w:rPr>
      <w:i/>
      <w:iCs/>
      <w:color w:val="0F4761" w:themeColor="accent1" w:themeShade="BF"/>
    </w:rPr>
  </w:style>
  <w:style w:type="character" w:styleId="Istaknutareferenca">
    <w:name w:val="Intense Reference"/>
    <w:basedOn w:val="Zadanifontodlomka"/>
    <w:uiPriority w:val="32"/>
    <w:qFormat/>
    <w:rsid w:val="0086286F"/>
    <w:rPr>
      <w:b/>
      <w:bCs/>
      <w:smallCaps/>
      <w:color w:val="0F4761" w:themeColor="accent1" w:themeShade="BF"/>
      <w:spacing w:val="5"/>
    </w:rPr>
  </w:style>
  <w:style w:type="paragraph" w:styleId="Bezproreda">
    <w:name w:val="No Spacing"/>
    <w:uiPriority w:val="1"/>
    <w:qFormat/>
    <w:rsid w:val="0086286F"/>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19944">
      <w:bodyDiv w:val="1"/>
      <w:marLeft w:val="0"/>
      <w:marRight w:val="0"/>
      <w:marTop w:val="0"/>
      <w:marBottom w:val="0"/>
      <w:divBdr>
        <w:top w:val="none" w:sz="0" w:space="0" w:color="auto"/>
        <w:left w:val="none" w:sz="0" w:space="0" w:color="auto"/>
        <w:bottom w:val="none" w:sz="0" w:space="0" w:color="auto"/>
        <w:right w:val="none" w:sz="0" w:space="0" w:color="auto"/>
      </w:divBdr>
    </w:div>
    <w:div w:id="205823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509</Words>
  <Characters>2906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 Alićajić</dc:creator>
  <cp:keywords/>
  <dc:description/>
  <cp:lastModifiedBy>Ana Milošević</cp:lastModifiedBy>
  <cp:revision>2</cp:revision>
  <cp:lastPrinted>2025-02-10T06:54:00Z</cp:lastPrinted>
  <dcterms:created xsi:type="dcterms:W3CDTF">2025-03-31T10:01:00Z</dcterms:created>
  <dcterms:modified xsi:type="dcterms:W3CDTF">2025-03-31T10:01:00Z</dcterms:modified>
</cp:coreProperties>
</file>