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F5C6F" w14:textId="77777777" w:rsidR="00222BB7" w:rsidRDefault="00C64B76" w:rsidP="00C64B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</w:t>
      </w:r>
      <w:r w:rsidR="00222BB7">
        <w:rPr>
          <w:rFonts w:ascii="Arial" w:hAnsi="Arial" w:cs="Arial"/>
          <w:sz w:val="24"/>
          <w:szCs w:val="24"/>
        </w:rPr>
        <w:t xml:space="preserve"> prijedloga </w:t>
      </w:r>
    </w:p>
    <w:p w14:paraId="389EA60D" w14:textId="2D19B836" w:rsidR="00222BB7" w:rsidRDefault="00222BB7" w:rsidP="00C64B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Odluke o obavljanju dimnjačarskih poslova na području grada </w:t>
      </w:r>
      <w:proofErr w:type="spellStart"/>
      <w:r>
        <w:rPr>
          <w:rFonts w:ascii="Arial" w:hAnsi="Arial" w:cs="Arial"/>
          <w:sz w:val="24"/>
          <w:szCs w:val="24"/>
        </w:rPr>
        <w:t>Kastva</w:t>
      </w:r>
      <w:proofErr w:type="spellEnd"/>
    </w:p>
    <w:p w14:paraId="6D626161" w14:textId="77777777" w:rsidR="004879EF" w:rsidRDefault="004879EF" w:rsidP="00C64B76">
      <w:pPr>
        <w:jc w:val="center"/>
        <w:rPr>
          <w:rFonts w:ascii="Arial" w:hAnsi="Arial" w:cs="Arial"/>
          <w:sz w:val="24"/>
          <w:szCs w:val="24"/>
        </w:rPr>
      </w:pPr>
    </w:p>
    <w:p w14:paraId="6EB3393A" w14:textId="08064863" w:rsidR="00C64B76" w:rsidRDefault="00C64B76" w:rsidP="00C64B7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Pravni </w:t>
      </w:r>
      <w:proofErr w:type="spellStart"/>
      <w:r>
        <w:rPr>
          <w:rFonts w:ascii="Arial" w:hAnsi="Arial" w:cs="Arial"/>
          <w:color w:val="212529"/>
        </w:rPr>
        <w:t>osnov</w:t>
      </w:r>
      <w:proofErr w:type="spellEnd"/>
      <w:r>
        <w:rPr>
          <w:rFonts w:ascii="Arial" w:hAnsi="Arial" w:cs="Arial"/>
          <w:color w:val="212529"/>
        </w:rPr>
        <w:t xml:space="preserve"> za donošenje ove Odluke sadržan je u odredbi članka 26. stavak 2. i</w:t>
      </w:r>
      <w:r w:rsidR="002D28F9">
        <w:rPr>
          <w:rFonts w:ascii="Arial" w:hAnsi="Arial" w:cs="Arial"/>
          <w:color w:val="212529"/>
        </w:rPr>
        <w:t xml:space="preserve"> članka</w:t>
      </w:r>
      <w:r>
        <w:rPr>
          <w:rFonts w:ascii="Arial" w:hAnsi="Arial" w:cs="Arial"/>
          <w:color w:val="212529"/>
        </w:rPr>
        <w:t xml:space="preserve"> 44.</w:t>
      </w:r>
      <w:r w:rsidR="002D28F9">
        <w:rPr>
          <w:rFonts w:ascii="Arial" w:hAnsi="Arial" w:cs="Arial"/>
          <w:color w:val="212529"/>
        </w:rPr>
        <w:t xml:space="preserve"> stavak 1. točka 4. i stavak 2.</w:t>
      </w:r>
      <w:r>
        <w:rPr>
          <w:rFonts w:ascii="Arial" w:hAnsi="Arial" w:cs="Arial"/>
          <w:color w:val="212529"/>
        </w:rPr>
        <w:t xml:space="preserve"> Zakona o komunalnom gospodarstvu (“Narodne novin</w:t>
      </w:r>
      <w:r w:rsidR="00E4448E">
        <w:rPr>
          <w:rFonts w:ascii="Arial" w:hAnsi="Arial" w:cs="Arial"/>
          <w:color w:val="212529"/>
        </w:rPr>
        <w:t xml:space="preserve">e“ broj 68/18, 110/18 i 32/20) </w:t>
      </w:r>
      <w:r>
        <w:rPr>
          <w:rFonts w:ascii="Arial" w:hAnsi="Arial" w:cs="Arial"/>
          <w:color w:val="212529"/>
        </w:rPr>
        <w:t xml:space="preserve">i članka 30. Statuta Grada </w:t>
      </w:r>
      <w:proofErr w:type="spellStart"/>
      <w:r>
        <w:rPr>
          <w:rFonts w:ascii="Arial" w:hAnsi="Arial" w:cs="Arial"/>
          <w:color w:val="212529"/>
        </w:rPr>
        <w:t>Kastva</w:t>
      </w:r>
      <w:proofErr w:type="spellEnd"/>
      <w:r>
        <w:rPr>
          <w:rFonts w:ascii="Arial" w:hAnsi="Arial" w:cs="Arial"/>
          <w:color w:val="212529"/>
        </w:rPr>
        <w:t xml:space="preserve"> („Službene novine Primorsko-goranske županije“ broj 04/18 i 36/18 i „Službene novine Grada </w:t>
      </w:r>
      <w:proofErr w:type="spellStart"/>
      <w:r>
        <w:rPr>
          <w:rFonts w:ascii="Arial" w:hAnsi="Arial" w:cs="Arial"/>
          <w:color w:val="212529"/>
        </w:rPr>
        <w:t>Kastva</w:t>
      </w:r>
      <w:proofErr w:type="spellEnd"/>
      <w:r>
        <w:rPr>
          <w:rFonts w:ascii="Arial" w:hAnsi="Arial" w:cs="Arial"/>
          <w:color w:val="212529"/>
        </w:rPr>
        <w:t>“ broj 05/20 i 03/21).</w:t>
      </w:r>
    </w:p>
    <w:p w14:paraId="30E310D5" w14:textId="56903C8D" w:rsidR="00441656" w:rsidRDefault="00E4448E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Člankom 24. stavak 1. točka </w:t>
      </w:r>
      <w:r w:rsidR="00C64B76">
        <w:rPr>
          <w:rFonts w:ascii="Arial" w:hAnsi="Arial" w:cs="Arial"/>
          <w:color w:val="212529"/>
        </w:rPr>
        <w:t xml:space="preserve">5. Zakona o komunalnom gospodarstvu </w:t>
      </w:r>
      <w:r>
        <w:rPr>
          <w:rFonts w:ascii="Arial" w:hAnsi="Arial" w:cs="Arial"/>
          <w:color w:val="212529"/>
        </w:rPr>
        <w:t>propisuje</w:t>
      </w:r>
      <w:r w:rsidR="00C64B76">
        <w:rPr>
          <w:rFonts w:ascii="Arial" w:hAnsi="Arial" w:cs="Arial"/>
          <w:color w:val="212529"/>
        </w:rPr>
        <w:t xml:space="preserve"> da je obavljanje dimnjačarskih poslova uslužna komunalna djelat</w:t>
      </w:r>
      <w:r>
        <w:rPr>
          <w:rFonts w:ascii="Arial" w:hAnsi="Arial" w:cs="Arial"/>
          <w:color w:val="212529"/>
        </w:rPr>
        <w:t>nost, dok je člankom 44. stavak</w:t>
      </w:r>
      <w:r w:rsidR="00C64B76">
        <w:rPr>
          <w:rFonts w:ascii="Arial" w:hAnsi="Arial" w:cs="Arial"/>
          <w:color w:val="212529"/>
        </w:rPr>
        <w:t xml:space="preserve"> 1.</w:t>
      </w:r>
      <w:r w:rsidR="002D28F9">
        <w:rPr>
          <w:rFonts w:ascii="Arial" w:hAnsi="Arial" w:cs="Arial"/>
          <w:color w:val="212529"/>
        </w:rPr>
        <w:t>, točka 4.</w:t>
      </w:r>
      <w:r w:rsidR="00C64B76">
        <w:rPr>
          <w:rFonts w:ascii="Arial" w:hAnsi="Arial" w:cs="Arial"/>
          <w:color w:val="212529"/>
        </w:rPr>
        <w:t xml:space="preserve"> istog Zakona propisano da se koncesijom može steći pravo obavljanja komunalne djelatnosti – obavljanje dimnjačarskih poslova, a stavak 2. propisuje da predstavničko tijelo jedinice lokalne samouprave u skladu s ovim Zakonom odlukom određuje komunalne djelatnosti koje se obavljaju na temelju koncesije.</w:t>
      </w:r>
      <w:r w:rsidR="00C64B76">
        <w:t xml:space="preserve"> </w:t>
      </w:r>
      <w:r w:rsidR="00C64B76">
        <w:rPr>
          <w:rFonts w:ascii="Arial" w:hAnsi="Arial" w:cs="Arial"/>
          <w:color w:val="212529"/>
        </w:rPr>
        <w:t xml:space="preserve">Odredbom članka 26. stavak 2. propisano je da predstavničko tijelo jedinice lokalne samouprave može odlukom pobliže odrediti poslove koji se smatraju obavljanjem komunalnih </w:t>
      </w:r>
      <w:r w:rsidR="00441656" w:rsidRPr="00441656">
        <w:rPr>
          <w:rFonts w:ascii="Arial" w:hAnsi="Arial" w:cs="Arial"/>
          <w:color w:val="212529"/>
        </w:rPr>
        <w:t>djelatnosti iz članaka 23. i 25. Zakona.</w:t>
      </w:r>
    </w:p>
    <w:p w14:paraId="54E9CCD3" w14:textId="424D7B5B" w:rsidR="00BC3FB3" w:rsidRPr="00BC3FB3" w:rsidRDefault="00BC3FB3" w:rsidP="00BC3FB3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 w:rsidRPr="00BC3FB3">
        <w:rPr>
          <w:rFonts w:ascii="Arial" w:hAnsi="Arial" w:cs="Arial"/>
          <w:color w:val="212529"/>
        </w:rPr>
        <w:t>Važeću Odluku o dimnjačarskoj službi Gradsko v</w:t>
      </w:r>
      <w:r>
        <w:rPr>
          <w:rFonts w:ascii="Arial" w:hAnsi="Arial" w:cs="Arial"/>
          <w:color w:val="212529"/>
        </w:rPr>
        <w:t xml:space="preserve">ijeće Grada </w:t>
      </w:r>
      <w:proofErr w:type="spellStart"/>
      <w:r>
        <w:rPr>
          <w:rFonts w:ascii="Arial" w:hAnsi="Arial" w:cs="Arial"/>
          <w:color w:val="212529"/>
        </w:rPr>
        <w:t>Kastva</w:t>
      </w:r>
      <w:proofErr w:type="spellEnd"/>
      <w:r>
        <w:rPr>
          <w:rFonts w:ascii="Arial" w:hAnsi="Arial" w:cs="Arial"/>
          <w:color w:val="212529"/>
        </w:rPr>
        <w:t xml:space="preserve"> donijelo je na </w:t>
      </w:r>
      <w:r w:rsidRPr="00BC3FB3">
        <w:rPr>
          <w:rFonts w:ascii="Arial" w:hAnsi="Arial" w:cs="Arial"/>
          <w:color w:val="212529"/>
        </w:rPr>
        <w:t xml:space="preserve">sjednici održanoj </w:t>
      </w:r>
      <w:r>
        <w:rPr>
          <w:rFonts w:ascii="Arial" w:hAnsi="Arial" w:cs="Arial"/>
          <w:color w:val="212529"/>
        </w:rPr>
        <w:t>26. rujna</w:t>
      </w:r>
      <w:r w:rsidRPr="00BC3FB3">
        <w:rPr>
          <w:rFonts w:ascii="Arial" w:hAnsi="Arial" w:cs="Arial"/>
          <w:color w:val="212529"/>
        </w:rPr>
        <w:t xml:space="preserve"> 1996. godine, a objavljena je u “Službenim novinama</w:t>
      </w:r>
      <w:r w:rsidRPr="00BC3FB3">
        <w:t xml:space="preserve"> </w:t>
      </w:r>
      <w:r w:rsidRPr="00BC3FB3">
        <w:rPr>
          <w:rFonts w:ascii="Arial" w:hAnsi="Arial" w:cs="Arial"/>
          <w:color w:val="212529"/>
        </w:rPr>
        <w:t>Primorsko-goranske županije“ broj 25/96</w:t>
      </w:r>
      <w:r>
        <w:rPr>
          <w:rFonts w:ascii="Arial" w:hAnsi="Arial" w:cs="Arial"/>
          <w:color w:val="212529"/>
        </w:rPr>
        <w:t>, stoga je radi usklađenja sa važećim propisima potrebno donijeti novu odluku.</w:t>
      </w:r>
    </w:p>
    <w:p w14:paraId="50B34296" w14:textId="79B6DEA1" w:rsidR="00C64B76" w:rsidRDefault="00BC3FB3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Ovim prijedlogom Odluke</w:t>
      </w:r>
      <w:r w:rsidR="00C64B76">
        <w:rPr>
          <w:rFonts w:ascii="Arial" w:hAnsi="Arial" w:cs="Arial"/>
          <w:color w:val="212529"/>
        </w:rPr>
        <w:t xml:space="preserve"> utvrđuju se uvjeti i način obavljanja dimnjačarskih poslova na području grada </w:t>
      </w:r>
      <w:proofErr w:type="spellStart"/>
      <w:r w:rsidR="00C64B76">
        <w:rPr>
          <w:rFonts w:ascii="Arial" w:hAnsi="Arial" w:cs="Arial"/>
          <w:color w:val="212529"/>
        </w:rPr>
        <w:t>Kastva</w:t>
      </w:r>
      <w:proofErr w:type="spellEnd"/>
      <w:r w:rsidR="00C64B76">
        <w:rPr>
          <w:rFonts w:ascii="Arial" w:hAnsi="Arial" w:cs="Arial"/>
          <w:color w:val="212529"/>
        </w:rPr>
        <w:t>, rokovi čišćenja i kontrole dimnjaka i uređaja za loženje, te nadzor nad obavljanjem dimnjačarske službe.</w:t>
      </w:r>
    </w:p>
    <w:p w14:paraId="080E51EE" w14:textId="49617067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Pod dimnjačarskim poslovima podrazumijeva se provjera ispravnosti i funkcioniranja dimnjaka i uređaja za loženje, obavljanje redovnih i izvanrednih pregleda dimnjaka i uređaja za loženje, čišćenje dimnjaka i uređaja za loženje, poduzimanje mjera za sprječavanje opasnosti od požara, eksplozija, trovanja, te </w:t>
      </w:r>
      <w:r w:rsidR="00BB507D">
        <w:rPr>
          <w:rFonts w:ascii="Arial" w:hAnsi="Arial" w:cs="Arial"/>
          <w:color w:val="212529"/>
        </w:rPr>
        <w:t>onečišćenja</w:t>
      </w:r>
      <w:r>
        <w:rPr>
          <w:rFonts w:ascii="Arial" w:hAnsi="Arial" w:cs="Arial"/>
          <w:color w:val="212529"/>
        </w:rPr>
        <w:t xml:space="preserve"> zraka, kako ne bi nastupile štetne posljedice zbog neispravnosti dimnjaka i uređaja za loženje.</w:t>
      </w:r>
    </w:p>
    <w:p w14:paraId="2869DE58" w14:textId="77777777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Dimnjačarske poslove mogu obavljati pravne ili fizičke osobe koje su registrirane za djelatnost obavljanja dimnjačarskih poslova i koje su s Gradom </w:t>
      </w:r>
      <w:proofErr w:type="spellStart"/>
      <w:r>
        <w:rPr>
          <w:rFonts w:ascii="Arial" w:hAnsi="Arial" w:cs="Arial"/>
          <w:color w:val="212529"/>
        </w:rPr>
        <w:t>Kastvom</w:t>
      </w:r>
      <w:proofErr w:type="spellEnd"/>
      <w:r>
        <w:rPr>
          <w:rFonts w:ascii="Arial" w:hAnsi="Arial" w:cs="Arial"/>
          <w:color w:val="212529"/>
        </w:rPr>
        <w:t xml:space="preserve"> prethodno zaključile ugovor o koncesiji. Ovlašteni dimnjačar obavlja dimnjačarske poslove na temelju godišnjeg plana pregleda i čišćenja dimnjaka i uređaja za loženje.</w:t>
      </w:r>
    </w:p>
    <w:p w14:paraId="0083A95E" w14:textId="77777777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Obavljanje komunalne djelatnosti organizira se i obavlja na području jedinice lokalne samouprave na način određen Zakonom o komunalnom gospodarstvu i posebnim zakonom.</w:t>
      </w:r>
    </w:p>
    <w:p w14:paraId="560534FE" w14:textId="77777777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Dimnjačarski poslovi jedna su od komunalnih djelatnosti koje se obavljaju s ciljem pružanja usluge od interesa za fizičke i pravne osobe, a u svrhu zaštite života i imovine.</w:t>
      </w:r>
    </w:p>
    <w:p w14:paraId="19B714B2" w14:textId="4EF6EBDD" w:rsidR="00212BF0" w:rsidRDefault="00212BF0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 w:rsidRPr="00212BF0">
        <w:rPr>
          <w:rFonts w:ascii="Arial" w:hAnsi="Arial" w:cs="Arial"/>
          <w:color w:val="212529"/>
        </w:rPr>
        <w:t xml:space="preserve">Zakonom o zaštiti od požara obvezani su vlasnici ili korisnici </w:t>
      </w:r>
      <w:proofErr w:type="spellStart"/>
      <w:r w:rsidRPr="00212BF0">
        <w:rPr>
          <w:rFonts w:ascii="Arial" w:hAnsi="Arial" w:cs="Arial"/>
          <w:color w:val="212529"/>
        </w:rPr>
        <w:t>dimovodnih</w:t>
      </w:r>
      <w:proofErr w:type="spellEnd"/>
      <w:r w:rsidRPr="00212BF0">
        <w:rPr>
          <w:rFonts w:ascii="Arial" w:hAnsi="Arial" w:cs="Arial"/>
          <w:color w:val="212529"/>
        </w:rPr>
        <w:t xml:space="preserve"> objekata i ložišta da ih održavaju u ispravnom stanju.</w:t>
      </w:r>
    </w:p>
    <w:p w14:paraId="3A137CAB" w14:textId="75650105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Nadzor nad obavljanjem dimnjačarskih </w:t>
      </w:r>
      <w:r w:rsidR="002D28F9">
        <w:rPr>
          <w:rFonts w:ascii="Arial" w:hAnsi="Arial" w:cs="Arial"/>
          <w:color w:val="212529"/>
        </w:rPr>
        <w:t>poslova</w:t>
      </w:r>
      <w:bookmarkStart w:id="0" w:name="_GoBack"/>
      <w:bookmarkEnd w:id="0"/>
      <w:r>
        <w:rPr>
          <w:rFonts w:ascii="Arial" w:hAnsi="Arial" w:cs="Arial"/>
          <w:color w:val="212529"/>
        </w:rPr>
        <w:t xml:space="preserve"> obavlja komunalni redar te su prijedlogom ove Odluke propisane njegove ovlasti i postupanje.</w:t>
      </w:r>
    </w:p>
    <w:p w14:paraId="18A2922D" w14:textId="77777777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Prekršajne odredbe utvrđene su člancima 20. – 21. Odluke, te su visine novčanih kazni utvrđene u iznosima unutar Prekršajnim zakonom propisanih ograničenja.</w:t>
      </w:r>
    </w:p>
    <w:p w14:paraId="2FCE8AF6" w14:textId="77777777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Temeljem odredbi Zakona o pravu na pristup informacijama („Narodne novine“ broj 25/13, 85/15 i 69/22) o prijedlogu Odluke provodi se savjetovanje sa zainteresiranom javnošću u trajanju od 30 dana.</w:t>
      </w:r>
    </w:p>
    <w:p w14:paraId="21B5C534" w14:textId="77777777" w:rsidR="00C64B76" w:rsidRDefault="00C64B76" w:rsidP="00C64B76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212529"/>
        </w:rPr>
        <w:t xml:space="preserve">Slijedom svega navedenog predlaže se Gradskom vijeću Grada </w:t>
      </w:r>
      <w:proofErr w:type="spellStart"/>
      <w:r>
        <w:rPr>
          <w:rFonts w:ascii="Arial" w:hAnsi="Arial" w:cs="Arial"/>
          <w:color w:val="212529"/>
        </w:rPr>
        <w:t>Kastva</w:t>
      </w:r>
      <w:proofErr w:type="spellEnd"/>
      <w:r>
        <w:rPr>
          <w:rFonts w:ascii="Arial" w:hAnsi="Arial" w:cs="Arial"/>
          <w:color w:val="212529"/>
        </w:rPr>
        <w:t xml:space="preserve"> donošenje predložene Odluke.</w:t>
      </w:r>
    </w:p>
    <w:p w14:paraId="582E58A0" w14:textId="77777777" w:rsidR="00541C71" w:rsidRDefault="00541C71"/>
    <w:sectPr w:rsidR="0054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6"/>
    <w:rsid w:val="001F5985"/>
    <w:rsid w:val="00212BF0"/>
    <w:rsid w:val="00222BB7"/>
    <w:rsid w:val="002D28F9"/>
    <w:rsid w:val="00441656"/>
    <w:rsid w:val="004879EF"/>
    <w:rsid w:val="00541C71"/>
    <w:rsid w:val="00B32584"/>
    <w:rsid w:val="00BB507D"/>
    <w:rsid w:val="00BC3FB3"/>
    <w:rsid w:val="00C64B76"/>
    <w:rsid w:val="00E4448E"/>
    <w:rsid w:val="00E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7B53"/>
  <w15:chartTrackingRefBased/>
  <w15:docId w15:val="{CC82ED44-A84C-45B3-9937-85BA8F69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7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4B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B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B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B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B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B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B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B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B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B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B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B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B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B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B7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B7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B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B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B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B76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Milošević</dc:creator>
  <cp:keywords/>
  <dc:description/>
  <cp:lastModifiedBy>Ana Milošević</cp:lastModifiedBy>
  <cp:revision>7</cp:revision>
  <dcterms:created xsi:type="dcterms:W3CDTF">2024-10-28T09:56:00Z</dcterms:created>
  <dcterms:modified xsi:type="dcterms:W3CDTF">2025-02-04T12:04:00Z</dcterms:modified>
</cp:coreProperties>
</file>