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A25A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44"/>
        <w:rPr>
          <w:rFonts w:eastAsiaTheme="minorEastAsia"/>
          <w:b/>
          <w:bCs/>
          <w:spacing w:val="-14"/>
        </w:rPr>
      </w:pPr>
      <w:bookmarkStart w:id="0" w:name="_Hlk145412164"/>
      <w:r w:rsidRPr="008436F0">
        <w:rPr>
          <w:rFonts w:eastAsiaTheme="minorEastAsia"/>
          <w:noProof/>
        </w:rPr>
        <w:drawing>
          <wp:anchor distT="0" distB="0" distL="0" distR="0" simplePos="0" relativeHeight="251659264" behindDoc="1" locked="0" layoutInCell="1" allowOverlap="1" wp14:anchorId="77E4C01C" wp14:editId="1DAAD83A">
            <wp:simplePos x="0" y="0"/>
            <wp:positionH relativeFrom="page">
              <wp:posOffset>2009775</wp:posOffset>
            </wp:positionH>
            <wp:positionV relativeFrom="paragraph">
              <wp:posOffset>130175</wp:posOffset>
            </wp:positionV>
            <wp:extent cx="495300" cy="6096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6F0">
        <w:rPr>
          <w:rFonts w:eastAsiaTheme="minorEastAsia"/>
          <w:b/>
          <w:bCs/>
        </w:rPr>
        <w:t xml:space="preserve">              REPUBLIKA</w:t>
      </w:r>
      <w:r w:rsidRPr="008436F0">
        <w:rPr>
          <w:rFonts w:eastAsiaTheme="minorEastAsia"/>
          <w:b/>
          <w:bCs/>
          <w:spacing w:val="-2"/>
        </w:rPr>
        <w:t xml:space="preserve"> </w:t>
      </w:r>
      <w:r w:rsidRPr="008436F0">
        <w:rPr>
          <w:rFonts w:eastAsiaTheme="minorEastAsia"/>
          <w:b/>
          <w:bCs/>
        </w:rPr>
        <w:t xml:space="preserve">HRVATSKA </w:t>
      </w:r>
      <w:r w:rsidRPr="008436F0">
        <w:rPr>
          <w:rFonts w:eastAsiaTheme="minorEastAsia"/>
          <w:b/>
          <w:bCs/>
          <w:spacing w:val="-14"/>
        </w:rPr>
        <w:t xml:space="preserve"> </w:t>
      </w:r>
    </w:p>
    <w:p w14:paraId="420032EF" w14:textId="77777777" w:rsidR="008436F0" w:rsidRPr="008436F0" w:rsidRDefault="008436F0" w:rsidP="008436F0">
      <w:pPr>
        <w:widowControl w:val="0"/>
        <w:autoSpaceDE w:val="0"/>
        <w:autoSpaceDN w:val="0"/>
        <w:spacing w:before="5"/>
        <w:ind w:left="118" w:right="4058" w:firstLine="24"/>
        <w:outlineLvl w:val="1"/>
        <w:rPr>
          <w:rFonts w:eastAsia="Arial"/>
          <w:b/>
          <w:bCs/>
          <w:spacing w:val="-2"/>
          <w:lang w:eastAsia="en-US"/>
        </w:rPr>
      </w:pPr>
      <w:r w:rsidRPr="008436F0">
        <w:rPr>
          <w:rFonts w:eastAsia="Arial"/>
          <w:b/>
          <w:bCs/>
          <w:spacing w:val="-14"/>
          <w:lang w:eastAsia="en-US"/>
        </w:rPr>
        <w:t xml:space="preserve">KOPRIVNIČKO-KRIŽEVAČKA </w:t>
      </w:r>
      <w:r w:rsidRPr="008436F0">
        <w:rPr>
          <w:rFonts w:eastAsia="Arial"/>
          <w:b/>
          <w:bCs/>
          <w:spacing w:val="-2"/>
          <w:lang w:eastAsia="en-US"/>
        </w:rPr>
        <w:t>ŽUPANIJA</w:t>
      </w:r>
    </w:p>
    <w:p w14:paraId="1CAEC54E" w14:textId="195F8889" w:rsidR="008436F0" w:rsidRPr="008436F0" w:rsidRDefault="008436F0" w:rsidP="008436F0">
      <w:pPr>
        <w:widowControl w:val="0"/>
        <w:autoSpaceDE w:val="0"/>
        <w:autoSpaceDN w:val="0"/>
        <w:spacing w:before="5"/>
        <w:ind w:left="118" w:right="4058" w:firstLine="24"/>
        <w:outlineLvl w:val="1"/>
        <w:rPr>
          <w:rFonts w:eastAsia="Arial"/>
          <w:b/>
          <w:bCs/>
          <w:lang w:eastAsia="en-US"/>
        </w:rPr>
      </w:pPr>
      <w:r w:rsidRPr="008436F0">
        <w:rPr>
          <w:rFonts w:eastAsia="Arial"/>
          <w:b/>
          <w:bCs/>
          <w:spacing w:val="-2"/>
          <w:lang w:eastAsia="en-US"/>
        </w:rPr>
        <w:t xml:space="preserve">               </w:t>
      </w:r>
      <w:r w:rsidR="00F36F9C">
        <w:rPr>
          <w:rFonts w:eastAsia="Arial"/>
          <w:b/>
          <w:bCs/>
          <w:spacing w:val="-2"/>
          <w:lang w:eastAsia="en-US"/>
        </w:rPr>
        <w:t xml:space="preserve">  </w:t>
      </w:r>
      <w:r w:rsidRPr="008436F0">
        <w:rPr>
          <w:rFonts w:eastAsia="Arial"/>
          <w:b/>
          <w:bCs/>
          <w:spacing w:val="-2"/>
          <w:lang w:eastAsia="en-US"/>
        </w:rPr>
        <w:t xml:space="preserve">  OPĆINA VIRJE</w:t>
      </w:r>
    </w:p>
    <w:p w14:paraId="77D409F0" w14:textId="41B0F17A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  <w:b/>
          <w:bCs/>
        </w:rPr>
      </w:pPr>
      <w:r w:rsidRPr="008436F0">
        <w:rPr>
          <w:rFonts w:eastAsiaTheme="minorEastAsia"/>
          <w:b/>
          <w:bCs/>
        </w:rPr>
        <w:t xml:space="preserve">       </w:t>
      </w:r>
      <w:r w:rsidR="00F36F9C">
        <w:rPr>
          <w:rFonts w:eastAsiaTheme="minorEastAsia"/>
          <w:b/>
          <w:bCs/>
        </w:rPr>
        <w:t xml:space="preserve">   </w:t>
      </w:r>
      <w:r w:rsidRPr="008436F0">
        <w:rPr>
          <w:rFonts w:eastAsiaTheme="minorEastAsia"/>
          <w:b/>
          <w:bCs/>
        </w:rPr>
        <w:t xml:space="preserve">  Jedinstveni upravni odjel</w:t>
      </w:r>
    </w:p>
    <w:p w14:paraId="1C8E3CC4" w14:textId="0B5F61B0" w:rsidR="008436F0" w:rsidRPr="00797FFA" w:rsidRDefault="008436F0" w:rsidP="008436F0">
      <w:pPr>
        <w:widowControl w:val="0"/>
        <w:autoSpaceDE w:val="0"/>
        <w:autoSpaceDN w:val="0"/>
        <w:spacing w:before="276"/>
        <w:ind w:left="118" w:right="6184"/>
        <w:outlineLvl w:val="1"/>
        <w:rPr>
          <w:rFonts w:eastAsia="Arial"/>
          <w:spacing w:val="-2"/>
          <w:lang w:eastAsia="en-US"/>
        </w:rPr>
      </w:pPr>
      <w:bookmarkStart w:id="1" w:name="_Hlk190676124"/>
      <w:r w:rsidRPr="00797FFA">
        <w:rPr>
          <w:rFonts w:eastAsia="Arial"/>
          <w:spacing w:val="-2"/>
          <w:lang w:eastAsia="en-US"/>
        </w:rPr>
        <w:t>KLASA: 011-0</w:t>
      </w:r>
      <w:r w:rsidR="00BC7225">
        <w:rPr>
          <w:rFonts w:eastAsia="Arial"/>
          <w:spacing w:val="-2"/>
          <w:lang w:eastAsia="en-US"/>
        </w:rPr>
        <w:t>2</w:t>
      </w:r>
      <w:r w:rsidRPr="00797FFA">
        <w:rPr>
          <w:rFonts w:eastAsia="Arial"/>
          <w:spacing w:val="-2"/>
          <w:lang w:eastAsia="en-US"/>
        </w:rPr>
        <w:t>/2</w:t>
      </w:r>
      <w:r w:rsidR="00F874D0">
        <w:rPr>
          <w:rFonts w:eastAsia="Arial"/>
          <w:spacing w:val="-2"/>
          <w:lang w:eastAsia="en-US"/>
        </w:rPr>
        <w:t>6</w:t>
      </w:r>
      <w:r w:rsidRPr="00797FFA">
        <w:rPr>
          <w:rFonts w:eastAsia="Arial"/>
          <w:spacing w:val="-2"/>
          <w:lang w:eastAsia="en-US"/>
        </w:rPr>
        <w:t>-01/</w:t>
      </w:r>
      <w:r w:rsidR="00932CDA">
        <w:rPr>
          <w:rFonts w:eastAsia="Arial"/>
          <w:spacing w:val="-2"/>
          <w:lang w:eastAsia="en-US"/>
        </w:rPr>
        <w:t>0</w:t>
      </w:r>
      <w:r w:rsidR="008735EF">
        <w:rPr>
          <w:rFonts w:eastAsia="Arial"/>
          <w:spacing w:val="-2"/>
          <w:lang w:eastAsia="en-US"/>
        </w:rPr>
        <w:t>3</w:t>
      </w:r>
    </w:p>
    <w:p w14:paraId="17BDF95B" w14:textId="73EAF101" w:rsidR="008436F0" w:rsidRPr="00797FFA" w:rsidRDefault="008436F0" w:rsidP="008436F0">
      <w:pPr>
        <w:widowControl w:val="0"/>
        <w:autoSpaceDE w:val="0"/>
        <w:autoSpaceDN w:val="0"/>
        <w:ind w:left="118" w:right="5670"/>
        <w:outlineLvl w:val="1"/>
        <w:rPr>
          <w:rFonts w:eastAsia="Arial"/>
          <w:spacing w:val="-2"/>
          <w:lang w:eastAsia="en-US"/>
        </w:rPr>
      </w:pPr>
      <w:r w:rsidRPr="00797FFA">
        <w:rPr>
          <w:rFonts w:eastAsia="Arial"/>
          <w:spacing w:val="-2"/>
          <w:lang w:eastAsia="en-US"/>
        </w:rPr>
        <w:t>URBROJ: 2137-18-03/0</w:t>
      </w:r>
      <w:r w:rsidR="00A4103B">
        <w:rPr>
          <w:rFonts w:eastAsia="Arial"/>
          <w:spacing w:val="-2"/>
          <w:lang w:eastAsia="en-US"/>
        </w:rPr>
        <w:t>7</w:t>
      </w:r>
      <w:r w:rsidRPr="00797FFA">
        <w:rPr>
          <w:rFonts w:eastAsia="Arial"/>
          <w:spacing w:val="-2"/>
          <w:lang w:eastAsia="en-US"/>
        </w:rPr>
        <w:t>-2</w:t>
      </w:r>
      <w:r w:rsidR="00F874D0">
        <w:rPr>
          <w:rFonts w:eastAsia="Arial"/>
          <w:spacing w:val="-2"/>
          <w:lang w:eastAsia="en-US"/>
        </w:rPr>
        <w:t>6</w:t>
      </w:r>
      <w:r w:rsidRPr="00797FFA">
        <w:rPr>
          <w:rFonts w:eastAsia="Arial"/>
          <w:spacing w:val="-2"/>
          <w:lang w:eastAsia="en-US"/>
        </w:rPr>
        <w:t>-1</w:t>
      </w:r>
    </w:p>
    <w:bookmarkEnd w:id="1"/>
    <w:p w14:paraId="6E13DCD7" w14:textId="3B6E76F8" w:rsidR="008436F0" w:rsidRPr="0076766C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  <w:color w:val="000000" w:themeColor="text1"/>
        </w:rPr>
      </w:pPr>
      <w:r w:rsidRPr="0076766C">
        <w:rPr>
          <w:rFonts w:eastAsiaTheme="minorEastAsia"/>
          <w:color w:val="000000" w:themeColor="text1"/>
        </w:rPr>
        <w:t>Virje,</w:t>
      </w:r>
      <w:r w:rsidRPr="0076766C">
        <w:rPr>
          <w:rFonts w:eastAsiaTheme="minorEastAsia"/>
          <w:color w:val="000000" w:themeColor="text1"/>
          <w:spacing w:val="-5"/>
        </w:rPr>
        <w:t xml:space="preserve"> </w:t>
      </w:r>
      <w:r w:rsidR="007B3B83" w:rsidRPr="0076766C">
        <w:rPr>
          <w:rFonts w:eastAsiaTheme="minorEastAsia"/>
          <w:color w:val="000000" w:themeColor="text1"/>
        </w:rPr>
        <w:t>2</w:t>
      </w:r>
      <w:r w:rsidR="008735EF">
        <w:rPr>
          <w:rFonts w:eastAsiaTheme="minorEastAsia"/>
          <w:color w:val="000000" w:themeColor="text1"/>
        </w:rPr>
        <w:t>4</w:t>
      </w:r>
      <w:r w:rsidR="00721F93">
        <w:rPr>
          <w:rFonts w:eastAsiaTheme="minorEastAsia"/>
          <w:color w:val="000000" w:themeColor="text1"/>
        </w:rPr>
        <w:t xml:space="preserve">. </w:t>
      </w:r>
      <w:r w:rsidR="005C52A8">
        <w:rPr>
          <w:rFonts w:eastAsiaTheme="minorEastAsia"/>
          <w:color w:val="000000" w:themeColor="text1"/>
        </w:rPr>
        <w:t xml:space="preserve">travnja </w:t>
      </w:r>
      <w:r w:rsidRPr="0076766C">
        <w:rPr>
          <w:rFonts w:eastAsiaTheme="minorEastAsia"/>
          <w:color w:val="000000" w:themeColor="text1"/>
        </w:rPr>
        <w:t>202</w:t>
      </w:r>
      <w:r w:rsidR="00F874D0">
        <w:rPr>
          <w:rFonts w:eastAsiaTheme="minorEastAsia"/>
          <w:color w:val="000000" w:themeColor="text1"/>
          <w:spacing w:val="-4"/>
        </w:rPr>
        <w:t>6</w:t>
      </w:r>
      <w:r w:rsidRPr="0076766C">
        <w:rPr>
          <w:rFonts w:eastAsiaTheme="minorEastAsia"/>
          <w:color w:val="000000" w:themeColor="text1"/>
          <w:spacing w:val="-4"/>
        </w:rPr>
        <w:t>.</w:t>
      </w:r>
    </w:p>
    <w:p w14:paraId="0B0C1A92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44"/>
        <w:rPr>
          <w:rFonts w:eastAsiaTheme="minorEastAsia"/>
        </w:rPr>
      </w:pPr>
    </w:p>
    <w:p w14:paraId="059E7DA2" w14:textId="2C6D2D8D" w:rsidR="00F874D0" w:rsidRPr="00F874D0" w:rsidRDefault="008436F0" w:rsidP="00D33FF4">
      <w:pPr>
        <w:widowControl w:val="0"/>
        <w:autoSpaceDE w:val="0"/>
        <w:autoSpaceDN w:val="0"/>
        <w:spacing w:before="8"/>
        <w:jc w:val="both"/>
        <w:rPr>
          <w:b/>
        </w:rPr>
      </w:pPr>
      <w:r w:rsidRPr="00F874D0">
        <w:rPr>
          <w:rFonts w:eastAsia="Arial"/>
          <w:b/>
          <w:bCs/>
          <w:lang w:eastAsia="en-US"/>
        </w:rPr>
        <w:t>PREDMET:</w:t>
      </w:r>
      <w:r w:rsidR="008E0C03">
        <w:rPr>
          <w:rFonts w:eastAsia="Arial"/>
          <w:b/>
          <w:bCs/>
          <w:lang w:eastAsia="en-US"/>
        </w:rPr>
        <w:t xml:space="preserve"> </w:t>
      </w:r>
      <w:r w:rsidR="00F874D0" w:rsidRPr="00F874D0">
        <w:rPr>
          <w:b/>
          <w:spacing w:val="-2"/>
        </w:rPr>
        <w:t>Odluk</w:t>
      </w:r>
      <w:r w:rsidR="00F874D0">
        <w:rPr>
          <w:b/>
          <w:spacing w:val="-2"/>
        </w:rPr>
        <w:t>a</w:t>
      </w:r>
      <w:r w:rsidR="00F874D0" w:rsidRPr="00F874D0">
        <w:rPr>
          <w:b/>
          <w:spacing w:val="-2"/>
        </w:rPr>
        <w:t xml:space="preserve"> </w:t>
      </w:r>
      <w:r w:rsidR="00F874D0" w:rsidRPr="00F874D0">
        <w:rPr>
          <w:b/>
          <w:spacing w:val="-6"/>
        </w:rPr>
        <w:t>o</w:t>
      </w:r>
      <w:r w:rsidR="008735EF">
        <w:rPr>
          <w:b/>
          <w:spacing w:val="-4"/>
        </w:rPr>
        <w:t xml:space="preserve"> donošenju Strategije zelene urbane obnove Općine Virje</w:t>
      </w:r>
      <w:r w:rsidR="00C92DCB">
        <w:rPr>
          <w:b/>
          <w:spacing w:val="-4"/>
        </w:rPr>
        <w:t xml:space="preserve"> za razdoblje od 2025. do 2035. godine</w:t>
      </w:r>
    </w:p>
    <w:p w14:paraId="6A640D42" w14:textId="6C9A35BB" w:rsidR="008436F0" w:rsidRPr="008436F0" w:rsidRDefault="00F874D0" w:rsidP="008436F0">
      <w:pPr>
        <w:widowControl w:val="0"/>
        <w:autoSpaceDE w:val="0"/>
        <w:autoSpaceDN w:val="0"/>
        <w:ind w:left="118"/>
        <w:outlineLvl w:val="0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lang w:eastAsia="en-US"/>
        </w:rPr>
        <w:t xml:space="preserve"> </w:t>
      </w:r>
    </w:p>
    <w:p w14:paraId="1B5D7BFD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</w:rPr>
      </w:pPr>
      <w:r w:rsidRPr="008436F0">
        <w:rPr>
          <w:rFonts w:eastAsiaTheme="minorEastAsia"/>
          <w:b/>
        </w:rPr>
        <w:t>-</w:t>
      </w:r>
      <w:r w:rsidRPr="008436F0">
        <w:rPr>
          <w:rFonts w:eastAsiaTheme="minorEastAsia"/>
          <w:b/>
          <w:spacing w:val="-10"/>
        </w:rPr>
        <w:t xml:space="preserve"> </w:t>
      </w:r>
      <w:r w:rsidRPr="008436F0">
        <w:rPr>
          <w:rFonts w:eastAsiaTheme="minorEastAsia"/>
        </w:rPr>
        <w:t>Nacrt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prijedloga</w:t>
      </w:r>
      <w:r w:rsidRPr="008436F0">
        <w:rPr>
          <w:rFonts w:eastAsiaTheme="minorEastAsia"/>
          <w:spacing w:val="-8"/>
        </w:rPr>
        <w:t xml:space="preserve"> </w:t>
      </w:r>
      <w:r w:rsidRPr="008436F0">
        <w:rPr>
          <w:rFonts w:eastAsiaTheme="minorEastAsia"/>
        </w:rPr>
        <w:t>za</w:t>
      </w:r>
      <w:r w:rsidRPr="008436F0">
        <w:rPr>
          <w:rFonts w:eastAsiaTheme="minorEastAsia"/>
          <w:spacing w:val="-8"/>
        </w:rPr>
        <w:t xml:space="preserve"> </w:t>
      </w:r>
      <w:r w:rsidRPr="008436F0">
        <w:rPr>
          <w:rFonts w:eastAsiaTheme="minorEastAsia"/>
        </w:rPr>
        <w:t>savjetovanje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s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  <w:spacing w:val="-2"/>
        </w:rPr>
        <w:t>javnošću</w:t>
      </w:r>
    </w:p>
    <w:p w14:paraId="6C6A58AC" w14:textId="77777777" w:rsidR="008436F0" w:rsidRPr="008436F0" w:rsidRDefault="008436F0" w:rsidP="008436F0">
      <w:pPr>
        <w:widowControl w:val="0"/>
        <w:autoSpaceDE w:val="0"/>
        <w:autoSpaceDN w:val="0"/>
        <w:adjustRightInd w:val="0"/>
        <w:spacing w:before="46"/>
        <w:ind w:left="144"/>
        <w:rPr>
          <w:rFonts w:eastAsiaTheme="minorEastAsia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</w:tblGrid>
      <w:tr w:rsidR="008436F0" w:rsidRPr="008436F0" w14:paraId="01A873D4" w14:textId="77777777" w:rsidTr="000A2514">
        <w:trPr>
          <w:trHeight w:val="714"/>
        </w:trPr>
        <w:tc>
          <w:tcPr>
            <w:tcW w:w="8927" w:type="dxa"/>
          </w:tcPr>
          <w:p w14:paraId="46D8AE6D" w14:textId="1969F41C" w:rsidR="008436F0" w:rsidRPr="008436F0" w:rsidRDefault="008436F0" w:rsidP="008436F0">
            <w:pPr>
              <w:ind w:left="107"/>
              <w:rPr>
                <w:rFonts w:eastAsia="Arial"/>
                <w:b/>
                <w:lang w:eastAsia="en-US"/>
              </w:rPr>
            </w:pPr>
            <w:proofErr w:type="spellStart"/>
            <w:r w:rsidRPr="008436F0">
              <w:rPr>
                <w:rFonts w:eastAsia="Arial"/>
                <w:b/>
                <w:lang w:eastAsia="en-US"/>
              </w:rPr>
              <w:t>Savjetovanje</w:t>
            </w:r>
            <w:proofErr w:type="spellEnd"/>
            <w:r w:rsidRPr="008436F0">
              <w:rPr>
                <w:rFonts w:eastAsia="Arial"/>
                <w:b/>
                <w:lang w:eastAsia="en-US"/>
              </w:rPr>
              <w:t xml:space="preserve"> s</w:t>
            </w:r>
            <w:r w:rsidRPr="008436F0">
              <w:rPr>
                <w:rFonts w:eastAsia="Arial"/>
                <w:b/>
                <w:spacing w:val="40"/>
                <w:lang w:eastAsia="en-US"/>
              </w:rPr>
              <w:t xml:space="preserve">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javnošću</w:t>
            </w:r>
            <w:proofErr w:type="spellEnd"/>
            <w:r w:rsidRPr="008436F0">
              <w:rPr>
                <w:rFonts w:eastAsia="Arial"/>
                <w:b/>
                <w:lang w:eastAsia="en-US"/>
              </w:rPr>
              <w:t xml:space="preserve"> bit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će</w:t>
            </w:r>
            <w:proofErr w:type="spellEnd"/>
            <w:r w:rsidRPr="008436F0">
              <w:rPr>
                <w:rFonts w:eastAsia="Arial"/>
                <w:b/>
                <w:lang w:eastAsia="en-US"/>
              </w:rPr>
              <w:t xml:space="preserve">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otvoreno</w:t>
            </w:r>
            <w:proofErr w:type="spellEnd"/>
            <w:r w:rsidRPr="008436F0">
              <w:rPr>
                <w:rFonts w:eastAsia="Arial"/>
                <w:b/>
                <w:lang w:eastAsia="en-US"/>
              </w:rPr>
              <w:t xml:space="preserve"> od </w:t>
            </w:r>
            <w:r w:rsidR="00721F93">
              <w:rPr>
                <w:rFonts w:eastAsia="Arial"/>
                <w:b/>
                <w:lang w:eastAsia="en-US"/>
              </w:rPr>
              <w:t>2</w:t>
            </w:r>
            <w:r w:rsidR="008735EF">
              <w:rPr>
                <w:rFonts w:eastAsia="Arial"/>
                <w:b/>
                <w:lang w:eastAsia="en-US"/>
              </w:rPr>
              <w:t>4</w:t>
            </w:r>
            <w:r w:rsidRPr="008436F0">
              <w:rPr>
                <w:rFonts w:eastAsia="Arial"/>
                <w:b/>
                <w:lang w:eastAsia="en-US"/>
              </w:rPr>
              <w:t>.</w:t>
            </w:r>
            <w:r w:rsidR="00F874D0">
              <w:rPr>
                <w:rFonts w:eastAsia="Arial"/>
                <w:b/>
                <w:lang w:eastAsia="en-US"/>
              </w:rPr>
              <w:t xml:space="preserve"> </w:t>
            </w:r>
            <w:proofErr w:type="spellStart"/>
            <w:r w:rsidR="008735EF">
              <w:rPr>
                <w:rFonts w:eastAsia="Arial"/>
                <w:b/>
                <w:lang w:eastAsia="en-US"/>
              </w:rPr>
              <w:t>travnja</w:t>
            </w:r>
            <w:proofErr w:type="spellEnd"/>
            <w:r w:rsidRPr="008436F0">
              <w:rPr>
                <w:rFonts w:eastAsia="Arial"/>
                <w:b/>
                <w:lang w:eastAsia="en-US"/>
              </w:rPr>
              <w:t xml:space="preserve"> 202</w:t>
            </w:r>
            <w:r w:rsidR="00F874D0">
              <w:rPr>
                <w:rFonts w:eastAsia="Arial"/>
                <w:b/>
                <w:lang w:eastAsia="en-US"/>
              </w:rPr>
              <w:t>6</w:t>
            </w:r>
            <w:r w:rsidRPr="008436F0">
              <w:rPr>
                <w:rFonts w:eastAsia="Arial"/>
                <w:b/>
                <w:lang w:eastAsia="en-US"/>
              </w:rPr>
              <w:t xml:space="preserve">.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godine</w:t>
            </w:r>
            <w:proofErr w:type="spellEnd"/>
            <w:r w:rsidRPr="008436F0">
              <w:rPr>
                <w:rFonts w:eastAsia="Arial"/>
                <w:b/>
                <w:lang w:eastAsia="en-US"/>
              </w:rPr>
              <w:t xml:space="preserve"> do </w:t>
            </w:r>
            <w:r w:rsidR="00721F93">
              <w:rPr>
                <w:rFonts w:eastAsia="Arial"/>
                <w:b/>
                <w:lang w:eastAsia="en-US"/>
              </w:rPr>
              <w:t>2</w:t>
            </w:r>
            <w:r w:rsidR="00675E81">
              <w:rPr>
                <w:rFonts w:eastAsia="Arial"/>
                <w:b/>
                <w:lang w:eastAsia="en-US"/>
              </w:rPr>
              <w:t>5</w:t>
            </w:r>
            <w:r w:rsidRPr="008436F0">
              <w:rPr>
                <w:rFonts w:eastAsia="Arial"/>
                <w:b/>
                <w:lang w:eastAsia="en-US"/>
              </w:rPr>
              <w:t xml:space="preserve">. </w:t>
            </w:r>
            <w:proofErr w:type="spellStart"/>
            <w:r w:rsidR="008735EF">
              <w:rPr>
                <w:rFonts w:eastAsia="Arial"/>
                <w:b/>
                <w:lang w:eastAsia="en-US"/>
              </w:rPr>
              <w:t>svibnja</w:t>
            </w:r>
            <w:proofErr w:type="spellEnd"/>
            <w:r w:rsidR="00721F93">
              <w:rPr>
                <w:rFonts w:eastAsia="Arial"/>
                <w:b/>
                <w:lang w:eastAsia="en-US"/>
              </w:rPr>
              <w:t xml:space="preserve"> 2</w:t>
            </w:r>
            <w:r w:rsidRPr="008436F0">
              <w:rPr>
                <w:rFonts w:eastAsia="Arial"/>
                <w:b/>
                <w:lang w:eastAsia="en-US"/>
              </w:rPr>
              <w:t>02</w:t>
            </w:r>
            <w:r w:rsidR="00F874D0">
              <w:rPr>
                <w:rFonts w:eastAsia="Arial"/>
                <w:b/>
                <w:lang w:eastAsia="en-US"/>
              </w:rPr>
              <w:t>6</w:t>
            </w:r>
            <w:r w:rsidRPr="008436F0">
              <w:rPr>
                <w:rFonts w:eastAsia="Arial"/>
                <w:b/>
                <w:lang w:eastAsia="en-US"/>
              </w:rPr>
              <w:t xml:space="preserve">.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godine</w:t>
            </w:r>
            <w:proofErr w:type="spellEnd"/>
            <w:r w:rsidRPr="008436F0">
              <w:rPr>
                <w:rFonts w:eastAsia="Arial"/>
                <w:b/>
                <w:lang w:eastAsia="en-US"/>
              </w:rPr>
              <w:t>.</w:t>
            </w:r>
          </w:p>
        </w:tc>
      </w:tr>
      <w:tr w:rsidR="008436F0" w:rsidRPr="008436F0" w14:paraId="4242E92F" w14:textId="77777777" w:rsidTr="000A2514">
        <w:trPr>
          <w:trHeight w:val="839"/>
        </w:trPr>
        <w:tc>
          <w:tcPr>
            <w:tcW w:w="8927" w:type="dxa"/>
          </w:tcPr>
          <w:p w14:paraId="36703288" w14:textId="77777777" w:rsidR="008436F0" w:rsidRPr="008436F0" w:rsidRDefault="008436F0" w:rsidP="008436F0">
            <w:pPr>
              <w:ind w:left="107"/>
              <w:rPr>
                <w:rFonts w:eastAsia="Arial"/>
                <w:lang w:eastAsia="en-US"/>
              </w:rPr>
            </w:pPr>
            <w:r w:rsidRPr="008436F0">
              <w:rPr>
                <w:rFonts w:eastAsia="Arial"/>
                <w:b/>
                <w:lang w:eastAsia="en-US"/>
              </w:rPr>
              <w:t>Adresa</w:t>
            </w:r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e-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pošte</w:t>
            </w:r>
            <w:proofErr w:type="spellEnd"/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na</w:t>
            </w:r>
            <w:proofErr w:type="spellEnd"/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koju</w:t>
            </w:r>
            <w:proofErr w:type="spellEnd"/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se</w:t>
            </w:r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šalju</w:t>
            </w:r>
            <w:proofErr w:type="spellEnd"/>
            <w:r w:rsidRPr="008436F0">
              <w:rPr>
                <w:rFonts w:eastAsia="Arial"/>
                <w:b/>
                <w:spacing w:val="-8"/>
                <w:lang w:eastAsia="en-US"/>
              </w:rPr>
              <w:t xml:space="preserve">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očitovanja</w:t>
            </w:r>
            <w:proofErr w:type="spellEnd"/>
            <w:r w:rsidRPr="008436F0">
              <w:rPr>
                <w:rFonts w:eastAsia="Arial"/>
                <w:b/>
                <w:spacing w:val="-6"/>
                <w:lang w:eastAsia="en-US"/>
              </w:rPr>
              <w:t xml:space="preserve">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zainteresirane</w:t>
            </w:r>
            <w:proofErr w:type="spellEnd"/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proofErr w:type="spellStart"/>
            <w:r w:rsidRPr="008436F0">
              <w:rPr>
                <w:rFonts w:eastAsia="Arial"/>
                <w:b/>
                <w:lang w:eastAsia="en-US"/>
              </w:rPr>
              <w:t>javnosti</w:t>
            </w:r>
            <w:proofErr w:type="spellEnd"/>
            <w:r w:rsidRPr="008436F0">
              <w:rPr>
                <w:rFonts w:eastAsia="Arial"/>
                <w:b/>
                <w:lang w:eastAsia="en-US"/>
              </w:rPr>
              <w:t xml:space="preserve">: </w:t>
            </w:r>
          </w:p>
          <w:p w14:paraId="094F4CD3" w14:textId="77777777" w:rsidR="008436F0" w:rsidRPr="008436F0" w:rsidRDefault="008436F0" w:rsidP="008436F0">
            <w:pPr>
              <w:ind w:left="107"/>
              <w:rPr>
                <w:rFonts w:eastAsia="Arial"/>
                <w:b/>
                <w:lang w:eastAsia="en-US"/>
              </w:rPr>
            </w:pPr>
            <w:hyperlink r:id="rId7" w:history="1">
              <w:r w:rsidRPr="008436F0">
                <w:rPr>
                  <w:rFonts w:eastAsia="Arial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opcina@virje.hr</w:t>
              </w:r>
            </w:hyperlink>
            <w:r w:rsidRPr="008436F0">
              <w:rPr>
                <w:rFonts w:eastAsia="Arial"/>
                <w:lang w:eastAsia="en-US"/>
              </w:rPr>
              <w:t xml:space="preserve"> </w:t>
            </w:r>
          </w:p>
        </w:tc>
      </w:tr>
    </w:tbl>
    <w:p w14:paraId="1BF88233" w14:textId="77777777" w:rsidR="008436F0" w:rsidRPr="008436F0" w:rsidRDefault="008436F0" w:rsidP="008436F0">
      <w:pPr>
        <w:shd w:val="clear" w:color="auto" w:fill="FFFFFF"/>
        <w:spacing w:after="48"/>
        <w:jc w:val="center"/>
        <w:textAlignment w:val="baseline"/>
        <w:rPr>
          <w:b/>
          <w:bCs/>
          <w:sz w:val="22"/>
          <w:szCs w:val="22"/>
          <w:lang w:val="sk-SK" w:eastAsia="sk-SK"/>
        </w:rPr>
      </w:pPr>
      <w:r w:rsidRPr="008436F0">
        <w:rPr>
          <w:b/>
          <w:bCs/>
          <w:sz w:val="22"/>
          <w:szCs w:val="22"/>
          <w:lang w:val="sk-SK" w:eastAsia="sk-SK"/>
        </w:rPr>
        <w:t xml:space="preserve"> </w:t>
      </w:r>
    </w:p>
    <w:p w14:paraId="5138FF86" w14:textId="75F3D0BE" w:rsidR="006F7106" w:rsidRPr="00C92DCB" w:rsidRDefault="006F7106" w:rsidP="00C92DCB">
      <w:pPr>
        <w:widowControl w:val="0"/>
        <w:autoSpaceDE w:val="0"/>
        <w:autoSpaceDN w:val="0"/>
        <w:spacing w:before="8"/>
        <w:ind w:firstLine="708"/>
        <w:rPr>
          <w:rFonts w:eastAsiaTheme="minorHAnsi"/>
          <w:bCs/>
          <w:lang w:eastAsia="en-US"/>
        </w:rPr>
      </w:pPr>
      <w:r w:rsidRPr="00C92DCB">
        <w:rPr>
          <w:rFonts w:eastAsiaTheme="minorHAnsi"/>
          <w:bCs/>
          <w:lang w:eastAsia="en-US"/>
        </w:rPr>
        <w:t>Općina Virje pristupila je izradi Strategije Zelene urbane obnove</w:t>
      </w:r>
      <w:r w:rsidR="00C92DCB" w:rsidRPr="00C92DCB">
        <w:rPr>
          <w:rFonts w:eastAsiaTheme="minorHAnsi"/>
          <w:bCs/>
          <w:lang w:eastAsia="en-US"/>
        </w:rPr>
        <w:t xml:space="preserve"> Općine Virje za razdoblje od 2025. do 2035. godine</w:t>
      </w:r>
      <w:r w:rsidR="005C52A8" w:rsidRPr="00C92DCB">
        <w:rPr>
          <w:rFonts w:eastAsiaTheme="minorHAnsi"/>
          <w:bCs/>
          <w:lang w:eastAsia="en-US"/>
        </w:rPr>
        <w:t>.</w:t>
      </w:r>
    </w:p>
    <w:p w14:paraId="746939FE" w14:textId="77777777" w:rsidR="008E0C03" w:rsidRPr="005C52A8" w:rsidRDefault="008E0C03" w:rsidP="005C52A8">
      <w:pPr>
        <w:pStyle w:val="Tijeloteksta"/>
        <w:spacing w:before="26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FF8E93F" w14:textId="77777777" w:rsidR="006F7106" w:rsidRDefault="006F7106" w:rsidP="006F7106">
      <w:pPr>
        <w:ind w:firstLine="708"/>
        <w:jc w:val="both"/>
      </w:pPr>
      <w:r w:rsidRPr="006F7106">
        <w:rPr>
          <w:rFonts w:eastAsiaTheme="minorHAnsi"/>
          <w:bCs/>
          <w:lang w:eastAsia="en-US"/>
        </w:rPr>
        <w:t xml:space="preserve">Strategija zelene urbane obnove </w:t>
      </w:r>
      <w:r w:rsidRPr="006F7106">
        <w:rPr>
          <w:rFonts w:eastAsiaTheme="minorHAnsi"/>
          <w:bCs/>
        </w:rPr>
        <w:t xml:space="preserve">Općine Virje </w:t>
      </w:r>
      <w:r w:rsidRPr="006F7106">
        <w:rPr>
          <w:rFonts w:eastAsiaTheme="minorHAnsi"/>
          <w:bCs/>
          <w:lang w:eastAsia="en-US"/>
        </w:rPr>
        <w:t xml:space="preserve">je strateška podloga od značaja za </w:t>
      </w:r>
      <w:r w:rsidRPr="006F7106">
        <w:rPr>
          <w:rFonts w:eastAsiaTheme="minorHAnsi"/>
          <w:bCs/>
        </w:rPr>
        <w:t>Općinu Virje</w:t>
      </w:r>
      <w:r w:rsidRPr="006F7106">
        <w:rPr>
          <w:rFonts w:eastAsiaTheme="minorHAnsi"/>
          <w:bCs/>
          <w:lang w:eastAsia="en-US"/>
        </w:rPr>
        <w:t xml:space="preserve">. Cilj Strategije je </w:t>
      </w:r>
      <w:r w:rsidRPr="00143F7F">
        <w:t xml:space="preserve">poticanje održivog, dugoročnog i cjelovitog razvoja Općine, s posebnim naglaskom na očuvanje prirodnih resursa, unapređenje kvalitete prostora i povećanje otpornosti na klimatske i okolišne izazove. </w:t>
      </w:r>
    </w:p>
    <w:p w14:paraId="45591BAC" w14:textId="77777777" w:rsidR="005C52A8" w:rsidRDefault="005C52A8" w:rsidP="006F7106">
      <w:pPr>
        <w:ind w:firstLine="708"/>
        <w:jc w:val="both"/>
      </w:pPr>
    </w:p>
    <w:p w14:paraId="3CBC0BCE" w14:textId="77777777" w:rsidR="006F7106" w:rsidRPr="00143F7F" w:rsidRDefault="006F7106" w:rsidP="006F7106">
      <w:pPr>
        <w:ind w:firstLine="708"/>
        <w:jc w:val="both"/>
      </w:pPr>
      <w:r w:rsidRPr="00143F7F">
        <w:t xml:space="preserve">Strategija je u skladu s europskim, nacionalnim i regionalnim politikama koje podupiru zelenu tranziciju, održivo upravljanje prostorom i resursima te prilagodbu klimatskim promjenama. Ključna područja djelovanja uključuju razvoj i unapređenje zelene infrastrukture, primjenu principa kružnog gospodarenja prostorom i zgradama, revitalizaciju postojećih objekata i javnih prostora te održivo korištenje prirodnih resursa. </w:t>
      </w:r>
    </w:p>
    <w:p w14:paraId="34D677C9" w14:textId="5B18BCD9" w:rsidR="006F7106" w:rsidRDefault="006F7106" w:rsidP="006F7106">
      <w:pPr>
        <w:pStyle w:val="Tijeloteksta"/>
        <w:spacing w:before="26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</w:p>
    <w:p w14:paraId="329909D1" w14:textId="77777777" w:rsidR="008E0C03" w:rsidRDefault="005C52A8" w:rsidP="005C52A8">
      <w:pPr>
        <w:pStyle w:val="Tijeloteksta"/>
        <w:spacing w:before="26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C52A8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Strategija je izrađena u skladu s nacionalnim zakonodavnim okvirom koji obuhvaća zakone i strategije relevantne za temu zelene infrastrukture</w:t>
      </w:r>
      <w:r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:</w:t>
      </w:r>
      <w:r w:rsidR="008E0C03" w:rsidRPr="008E0C0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7C15E88" w14:textId="77777777" w:rsidR="008E0C03" w:rsidRDefault="008E0C03" w:rsidP="008E0C03">
      <w:pPr>
        <w:pStyle w:val="Tijeloteksta"/>
        <w:numPr>
          <w:ilvl w:val="0"/>
          <w:numId w:val="8"/>
        </w:numPr>
        <w:spacing w:before="26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8E0C03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 xml:space="preserve">Zakon o sustavu strateškog planiranja i upravljanja razvojem Republike Hrvatske („Narodne novine“ broj 123/17 i 151/22), </w:t>
      </w:r>
    </w:p>
    <w:p w14:paraId="52A718D7" w14:textId="77777777" w:rsidR="008E0C03" w:rsidRDefault="008E0C03" w:rsidP="008E0C03">
      <w:pPr>
        <w:pStyle w:val="Tijeloteksta"/>
        <w:numPr>
          <w:ilvl w:val="0"/>
          <w:numId w:val="8"/>
        </w:numPr>
        <w:spacing w:before="26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8E0C03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Zakon o regionalnom razvoju Republike Hrvatske („Narodne novine“ br. 147/14, 123/17, 118/18),</w:t>
      </w:r>
    </w:p>
    <w:p w14:paraId="60C19208" w14:textId="7212B498" w:rsidR="006F7106" w:rsidRDefault="008E0C03" w:rsidP="008E0C03">
      <w:pPr>
        <w:pStyle w:val="Tijeloteksta"/>
        <w:numPr>
          <w:ilvl w:val="0"/>
          <w:numId w:val="8"/>
        </w:numPr>
        <w:spacing w:before="26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8E0C03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Zakon o prostornom uređenju („Narodne novine“ broj 55/25)</w:t>
      </w:r>
    </w:p>
    <w:p w14:paraId="2D959BA5" w14:textId="3EE51062" w:rsidR="006F7106" w:rsidRPr="006F7106" w:rsidRDefault="006F7106" w:rsidP="008E0C03">
      <w:pPr>
        <w:pStyle w:val="Tijeloteksta"/>
        <w:numPr>
          <w:ilvl w:val="0"/>
          <w:numId w:val="8"/>
        </w:numPr>
        <w:spacing w:before="26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Zakon o gradnji („Narodne novine“ br.</w:t>
      </w:r>
      <w:r w:rsidR="005C52A8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155/26</w:t>
      </w: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 xml:space="preserve">) </w:t>
      </w:r>
    </w:p>
    <w:p w14:paraId="6E71E55C" w14:textId="764E7730" w:rsidR="006F7106" w:rsidRPr="006F7106" w:rsidRDefault="006F7106" w:rsidP="008E0C03">
      <w:pPr>
        <w:pStyle w:val="Tijeloteksta"/>
        <w:numPr>
          <w:ilvl w:val="0"/>
          <w:numId w:val="8"/>
        </w:numPr>
        <w:spacing w:before="26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Zakon o zaštiti prirode („Narodne novine“ br. 80/13, 15/18, 14/19, 127/19</w:t>
      </w:r>
      <w:r w:rsidR="005C52A8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, 155/23</w:t>
      </w: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 xml:space="preserve">): </w:t>
      </w:r>
    </w:p>
    <w:p w14:paraId="2278F4C8" w14:textId="6FD191C7" w:rsidR="006F7106" w:rsidRPr="006F7106" w:rsidRDefault="006F7106" w:rsidP="008E0C03">
      <w:pPr>
        <w:pStyle w:val="Tijeloteksta"/>
        <w:numPr>
          <w:ilvl w:val="0"/>
          <w:numId w:val="8"/>
        </w:numPr>
        <w:spacing w:before="26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Strategija prilagodbe klimatskim promjenama u Republici Hrvatskoj do 2040. godine</w:t>
      </w:r>
    </w:p>
    <w:p w14:paraId="155367F6" w14:textId="55D27049" w:rsidR="006F7106" w:rsidRPr="006F7106" w:rsidRDefault="006F7106" w:rsidP="008E0C03">
      <w:pPr>
        <w:pStyle w:val="Tijeloteksta"/>
        <w:numPr>
          <w:ilvl w:val="0"/>
          <w:numId w:val="8"/>
        </w:numPr>
        <w:spacing w:before="26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lastRenderedPageBreak/>
        <w:t>Strategija prostornog razvoja Republike Hrvatske</w:t>
      </w:r>
    </w:p>
    <w:p w14:paraId="3BC810E6" w14:textId="052A7711" w:rsidR="006F7106" w:rsidRDefault="006F7106" w:rsidP="008E0C03">
      <w:pPr>
        <w:pStyle w:val="Tijeloteksta"/>
        <w:numPr>
          <w:ilvl w:val="0"/>
          <w:numId w:val="8"/>
        </w:numPr>
        <w:spacing w:before="26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Nacionalna razvojna strategija RH do 2030. godine</w:t>
      </w:r>
    </w:p>
    <w:p w14:paraId="068888C9" w14:textId="77777777" w:rsidR="008E0C03" w:rsidRPr="006F7106" w:rsidRDefault="008E0C03" w:rsidP="008E0C03">
      <w:pPr>
        <w:pStyle w:val="Tijeloteksta"/>
        <w:spacing w:before="26"/>
        <w:ind w:left="720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</w:p>
    <w:p w14:paraId="053D1ACE" w14:textId="7116630D" w:rsidR="006F7106" w:rsidRDefault="006F7106" w:rsidP="005C52A8">
      <w:pPr>
        <w:pStyle w:val="Tijeloteksta"/>
        <w:spacing w:before="26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Strategija pridonosi njihovoj realizaciji kroz konkretne mjere i projekte, usklađene s nacionalnim i europskim ciljevima u području održivog razvoja.</w:t>
      </w:r>
    </w:p>
    <w:p w14:paraId="11A55D6B" w14:textId="77777777" w:rsidR="006F7106" w:rsidRDefault="006F7106" w:rsidP="006F7106">
      <w:pPr>
        <w:ind w:firstLine="708"/>
        <w:jc w:val="both"/>
      </w:pPr>
      <w:r w:rsidRPr="00F1558B">
        <w:t>Sve planirane aktivnosti Strategije su u skladu s principom ne nanošenja značajne štete (DNSH) i zelenom komponentom NPOO-a.</w:t>
      </w:r>
    </w:p>
    <w:p w14:paraId="53201A7F" w14:textId="77777777" w:rsidR="006F7106" w:rsidRPr="006F7106" w:rsidRDefault="006F7106" w:rsidP="006F7106">
      <w:pPr>
        <w:pStyle w:val="Tijeloteksta"/>
        <w:spacing w:before="26"/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</w:pPr>
    </w:p>
    <w:p w14:paraId="1439FCBF" w14:textId="33FF11DD" w:rsidR="006F7106" w:rsidRPr="006F7106" w:rsidRDefault="006F7106" w:rsidP="005C52A8">
      <w:pPr>
        <w:pStyle w:val="Tijeloteksta"/>
        <w:spacing w:before="26"/>
        <w:ind w:firstLine="708"/>
        <w:jc w:val="both"/>
        <w:rPr>
          <w:bCs/>
          <w:lang w:val="hr-HR"/>
        </w:rPr>
      </w:pPr>
      <w:r w:rsidRPr="006F7106">
        <w:rPr>
          <w:rFonts w:ascii="Times New Roman" w:eastAsiaTheme="minorHAnsi" w:hAnsi="Times New Roman" w:cs="Times New Roman"/>
          <w:bCs/>
          <w:sz w:val="24"/>
          <w:szCs w:val="24"/>
          <w:lang w:val="hr-HR"/>
        </w:rPr>
        <w:t>Ova Strategija osigurava okvir za promišljenu i dugoročnu viziju održivog razvoja Općine Virje te postavlja temelje za odgovorno upravljanje prostorom i resursima.</w:t>
      </w:r>
    </w:p>
    <w:p w14:paraId="5981E623" w14:textId="3490D9C4" w:rsidR="008436F0" w:rsidRPr="006F7106" w:rsidRDefault="008436F0" w:rsidP="006F7106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</w:p>
    <w:p w14:paraId="12466B26" w14:textId="24D5BF6B" w:rsidR="003A735F" w:rsidRPr="00904020" w:rsidRDefault="008436F0" w:rsidP="005C52A8">
      <w:pPr>
        <w:widowControl w:val="0"/>
        <w:autoSpaceDE w:val="0"/>
        <w:autoSpaceDN w:val="0"/>
        <w:adjustRightInd w:val="0"/>
        <w:ind w:right="238" w:firstLine="708"/>
        <w:jc w:val="both"/>
        <w:rPr>
          <w:rFonts w:eastAsiaTheme="minorEastAsia"/>
        </w:rPr>
      </w:pPr>
      <w:r w:rsidRPr="00904020">
        <w:rPr>
          <w:rFonts w:eastAsiaTheme="minorEastAsia"/>
        </w:rPr>
        <w:t>Za</w:t>
      </w:r>
      <w:r w:rsidRPr="00904020">
        <w:rPr>
          <w:rFonts w:eastAsiaTheme="minorEastAsia"/>
          <w:spacing w:val="-3"/>
        </w:rPr>
        <w:t xml:space="preserve"> </w:t>
      </w:r>
      <w:r w:rsidRPr="00904020">
        <w:rPr>
          <w:rFonts w:eastAsiaTheme="minorEastAsia"/>
        </w:rPr>
        <w:t>provođenje</w:t>
      </w:r>
      <w:r w:rsidRPr="00904020">
        <w:rPr>
          <w:rFonts w:eastAsiaTheme="minorEastAsia"/>
          <w:spacing w:val="-3"/>
        </w:rPr>
        <w:t xml:space="preserve"> </w:t>
      </w:r>
      <w:r w:rsidRPr="00904020">
        <w:rPr>
          <w:rFonts w:eastAsiaTheme="minorEastAsia"/>
        </w:rPr>
        <w:t>ov</w:t>
      </w:r>
      <w:r w:rsidR="006F7106" w:rsidRPr="00904020">
        <w:rPr>
          <w:rFonts w:eastAsiaTheme="minorEastAsia"/>
        </w:rPr>
        <w:t>e</w:t>
      </w:r>
      <w:r w:rsidRPr="00904020">
        <w:rPr>
          <w:rFonts w:eastAsiaTheme="minorEastAsia"/>
          <w:spacing w:val="-3"/>
        </w:rPr>
        <w:t xml:space="preserve"> </w:t>
      </w:r>
      <w:r w:rsidRPr="00904020">
        <w:rPr>
          <w:rFonts w:eastAsiaTheme="minorEastAsia"/>
        </w:rPr>
        <w:t>Odluke</w:t>
      </w:r>
      <w:r w:rsidRPr="00904020">
        <w:rPr>
          <w:rFonts w:eastAsiaTheme="minorEastAsia"/>
          <w:spacing w:val="-3"/>
        </w:rPr>
        <w:t xml:space="preserve"> </w:t>
      </w:r>
      <w:r w:rsidR="00904020" w:rsidRPr="00904020">
        <w:rPr>
          <w:rFonts w:eastAsiaTheme="minorEastAsia"/>
        </w:rPr>
        <w:t xml:space="preserve">nije potrebno osigurati </w:t>
      </w:r>
      <w:r w:rsidRPr="00904020">
        <w:rPr>
          <w:rFonts w:eastAsiaTheme="minorEastAsia"/>
        </w:rPr>
        <w:t>u</w:t>
      </w:r>
      <w:r w:rsidRPr="00904020">
        <w:rPr>
          <w:rFonts w:eastAsiaTheme="minorEastAsia"/>
          <w:spacing w:val="-4"/>
        </w:rPr>
        <w:t xml:space="preserve"> </w:t>
      </w:r>
      <w:r w:rsidRPr="00904020">
        <w:rPr>
          <w:rFonts w:eastAsiaTheme="minorEastAsia"/>
        </w:rPr>
        <w:t>Proračunu</w:t>
      </w:r>
      <w:r w:rsidRPr="00904020">
        <w:rPr>
          <w:rFonts w:eastAsiaTheme="minorEastAsia"/>
          <w:spacing w:val="-5"/>
        </w:rPr>
        <w:t xml:space="preserve"> Općine Virje</w:t>
      </w:r>
      <w:r w:rsidRPr="00904020">
        <w:rPr>
          <w:rFonts w:eastAsiaTheme="minorEastAsia"/>
        </w:rPr>
        <w:t xml:space="preserve"> za 202</w:t>
      </w:r>
      <w:r w:rsidR="00F874D0" w:rsidRPr="00904020">
        <w:rPr>
          <w:rFonts w:eastAsiaTheme="minorEastAsia"/>
        </w:rPr>
        <w:t>6</w:t>
      </w:r>
      <w:r w:rsidRPr="00904020">
        <w:rPr>
          <w:rFonts w:eastAsiaTheme="minorEastAsia"/>
        </w:rPr>
        <w:t>. godinu</w:t>
      </w:r>
      <w:r w:rsidR="006F7106" w:rsidRPr="00904020">
        <w:rPr>
          <w:rFonts w:eastAsiaTheme="minorEastAsia"/>
        </w:rPr>
        <w:t>.</w:t>
      </w:r>
    </w:p>
    <w:p w14:paraId="295D38FB" w14:textId="77777777" w:rsidR="006F7106" w:rsidRPr="008E0C03" w:rsidRDefault="006F7106" w:rsidP="006F7106">
      <w:pPr>
        <w:widowControl w:val="0"/>
        <w:autoSpaceDE w:val="0"/>
        <w:autoSpaceDN w:val="0"/>
        <w:adjustRightInd w:val="0"/>
        <w:ind w:right="238"/>
        <w:jc w:val="both"/>
        <w:rPr>
          <w:rFonts w:eastAsiaTheme="minorEastAsia"/>
          <w:color w:val="EE0000"/>
        </w:rPr>
      </w:pPr>
    </w:p>
    <w:p w14:paraId="4A3E816D" w14:textId="4A35535C" w:rsidR="008436F0" w:rsidRPr="008436F0" w:rsidRDefault="008436F0" w:rsidP="005C52A8">
      <w:pPr>
        <w:spacing w:after="160" w:line="259" w:lineRule="auto"/>
        <w:ind w:right="109" w:firstLine="708"/>
        <w:jc w:val="both"/>
        <w:rPr>
          <w:rFonts w:eastAsiaTheme="minorHAnsi"/>
          <w:lang w:eastAsia="en-US"/>
        </w:rPr>
      </w:pPr>
      <w:r w:rsidRPr="00F874D0">
        <w:rPr>
          <w:rFonts w:eastAsiaTheme="minorHAnsi"/>
          <w:bCs/>
          <w:lang w:eastAsia="en-US"/>
        </w:rPr>
        <w:t>Prijedlog Odluk</w:t>
      </w:r>
      <w:r w:rsidR="00F874D0" w:rsidRPr="00F874D0">
        <w:rPr>
          <w:rFonts w:eastAsiaTheme="minorHAnsi"/>
          <w:bCs/>
          <w:lang w:eastAsia="en-US"/>
        </w:rPr>
        <w:t>a</w:t>
      </w:r>
      <w:r w:rsidRPr="00F874D0">
        <w:rPr>
          <w:rFonts w:eastAsiaTheme="minorHAnsi"/>
          <w:bCs/>
          <w:lang w:eastAsia="en-US"/>
        </w:rPr>
        <w:t xml:space="preserve"> upućuje se na javno savjetovanje</w:t>
      </w:r>
      <w:r w:rsidRPr="00F874D0">
        <w:rPr>
          <w:rFonts w:eastAsiaTheme="minorHAnsi"/>
          <w:bCs/>
          <w:spacing w:val="40"/>
          <w:lang w:eastAsia="en-US"/>
        </w:rPr>
        <w:t xml:space="preserve"> </w:t>
      </w:r>
      <w:r w:rsidRPr="00F874D0">
        <w:rPr>
          <w:rFonts w:eastAsiaTheme="minorHAnsi"/>
          <w:bCs/>
          <w:lang w:eastAsia="en-US"/>
        </w:rPr>
        <w:t>u trajanju od 30 dana, te</w:t>
      </w:r>
      <w:r w:rsidRPr="008436F0">
        <w:rPr>
          <w:rFonts w:eastAsiaTheme="minorHAnsi"/>
          <w:lang w:eastAsia="en-US"/>
        </w:rPr>
        <w:t xml:space="preserve"> će se nakon provedenog savjetovanja predložiti na usvajanje Općinskom vijeću.</w:t>
      </w:r>
    </w:p>
    <w:p w14:paraId="5AF7FCB3" w14:textId="77777777" w:rsidR="008436F0" w:rsidRPr="008436F0" w:rsidRDefault="008436F0" w:rsidP="005C52A8">
      <w:pPr>
        <w:widowControl w:val="0"/>
        <w:autoSpaceDE w:val="0"/>
        <w:autoSpaceDN w:val="0"/>
        <w:adjustRightInd w:val="0"/>
        <w:ind w:right="107" w:firstLine="708"/>
        <w:jc w:val="both"/>
        <w:rPr>
          <w:rFonts w:eastAsiaTheme="minorEastAsia"/>
        </w:rPr>
      </w:pPr>
      <w:r w:rsidRPr="008436F0">
        <w:rPr>
          <w:rFonts w:eastAsiaTheme="minorEastAsia"/>
        </w:rPr>
        <w:t>Prijedlozi i mišljenja o Nacrtu prijedloga mogu se izraziti putem Obrasca e-sudjelovanje</w:t>
      </w:r>
      <w:r w:rsidRPr="008436F0">
        <w:rPr>
          <w:rFonts w:eastAsiaTheme="minorEastAsia"/>
          <w:spacing w:val="40"/>
        </w:rPr>
        <w:t xml:space="preserve"> </w:t>
      </w:r>
      <w:r w:rsidRPr="008436F0">
        <w:rPr>
          <w:rFonts w:eastAsiaTheme="minorEastAsia"/>
        </w:rPr>
        <w:t>koji se dostavlja u privitku.</w:t>
      </w:r>
    </w:p>
    <w:p w14:paraId="76A65184" w14:textId="77777777" w:rsidR="008436F0" w:rsidRPr="008436F0" w:rsidRDefault="008436F0" w:rsidP="00F36F9C">
      <w:pPr>
        <w:widowControl w:val="0"/>
        <w:autoSpaceDE w:val="0"/>
        <w:autoSpaceDN w:val="0"/>
        <w:adjustRightInd w:val="0"/>
        <w:ind w:right="107"/>
        <w:jc w:val="both"/>
        <w:rPr>
          <w:rFonts w:eastAsiaTheme="minorEastAsia"/>
        </w:rPr>
      </w:pPr>
    </w:p>
    <w:p w14:paraId="659223C5" w14:textId="4F9FE635" w:rsidR="008436F0" w:rsidRPr="008436F0" w:rsidRDefault="00F36F9C" w:rsidP="00F36F9C">
      <w:pPr>
        <w:widowControl w:val="0"/>
        <w:autoSpaceDE w:val="0"/>
        <w:autoSpaceDN w:val="0"/>
        <w:ind w:right="107" w:firstLine="720"/>
        <w:jc w:val="center"/>
        <w:outlineLvl w:val="1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spacing w:val="-2"/>
          <w:lang w:eastAsia="en-US"/>
        </w:rPr>
        <w:t xml:space="preserve">                                                             </w:t>
      </w:r>
      <w:r w:rsidR="003A735F">
        <w:rPr>
          <w:rFonts w:eastAsia="Arial"/>
          <w:b/>
          <w:bCs/>
          <w:spacing w:val="-2"/>
          <w:lang w:eastAsia="en-US"/>
        </w:rPr>
        <w:t>Viša referentica za opće poslove</w:t>
      </w:r>
      <w:r w:rsidR="008436F0" w:rsidRPr="008436F0">
        <w:rPr>
          <w:rFonts w:eastAsia="Arial"/>
          <w:b/>
          <w:bCs/>
          <w:spacing w:val="-2"/>
          <w:lang w:eastAsia="en-US"/>
        </w:rPr>
        <w:t>:</w:t>
      </w:r>
    </w:p>
    <w:p w14:paraId="32732F48" w14:textId="1D44C07E" w:rsidR="008436F0" w:rsidRPr="008436F0" w:rsidRDefault="008436F0" w:rsidP="008436F0">
      <w:pPr>
        <w:widowControl w:val="0"/>
        <w:autoSpaceDE w:val="0"/>
        <w:autoSpaceDN w:val="0"/>
        <w:adjustRightInd w:val="0"/>
        <w:ind w:left="144" w:right="106"/>
        <w:jc w:val="center"/>
        <w:rPr>
          <w:rFonts w:eastAsiaTheme="minorEastAsia"/>
          <w:b/>
          <w:bCs/>
        </w:rPr>
      </w:pPr>
      <w:r w:rsidRPr="008436F0">
        <w:rPr>
          <w:rFonts w:eastAsiaTheme="minorEastAsia"/>
          <w:b/>
          <w:bCs/>
          <w:spacing w:val="-2"/>
        </w:rPr>
        <w:t xml:space="preserve">                                      </w:t>
      </w:r>
      <w:r w:rsidR="00904020">
        <w:rPr>
          <w:rFonts w:eastAsiaTheme="minorEastAsia"/>
          <w:b/>
          <w:bCs/>
          <w:spacing w:val="-2"/>
        </w:rPr>
        <w:t xml:space="preserve">                        </w:t>
      </w:r>
      <w:r w:rsidRPr="008436F0">
        <w:rPr>
          <w:rFonts w:eastAsiaTheme="minorEastAsia"/>
          <w:b/>
          <w:bCs/>
          <w:spacing w:val="-2"/>
        </w:rPr>
        <w:t xml:space="preserve"> </w:t>
      </w:r>
      <w:r w:rsidR="007B3B83">
        <w:rPr>
          <w:rFonts w:eastAsiaTheme="minorEastAsia"/>
          <w:b/>
          <w:bCs/>
          <w:spacing w:val="-2"/>
        </w:rPr>
        <w:t xml:space="preserve"> </w:t>
      </w:r>
      <w:r w:rsidR="003A735F">
        <w:rPr>
          <w:rFonts w:eastAsiaTheme="minorEastAsia"/>
          <w:b/>
          <w:bCs/>
          <w:spacing w:val="-2"/>
        </w:rPr>
        <w:t xml:space="preserve">Iva </w:t>
      </w:r>
      <w:proofErr w:type="spellStart"/>
      <w:r w:rsidR="003A735F">
        <w:rPr>
          <w:rFonts w:eastAsiaTheme="minorEastAsia"/>
          <w:b/>
          <w:bCs/>
          <w:spacing w:val="-2"/>
        </w:rPr>
        <w:t>Fancev</w:t>
      </w:r>
      <w:proofErr w:type="spellEnd"/>
      <w:r w:rsidR="003A735F">
        <w:rPr>
          <w:rFonts w:eastAsiaTheme="minorEastAsia"/>
          <w:b/>
          <w:bCs/>
          <w:spacing w:val="-2"/>
        </w:rPr>
        <w:t xml:space="preserve"> </w:t>
      </w:r>
    </w:p>
    <w:p w14:paraId="07E9BA85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jc w:val="both"/>
        <w:rPr>
          <w:rFonts w:eastAsiaTheme="minorEastAsia"/>
        </w:rPr>
      </w:pPr>
      <w:r w:rsidRPr="008436F0">
        <w:rPr>
          <w:rFonts w:eastAsiaTheme="minorEastAsia"/>
        </w:rPr>
        <w:t>U</w:t>
      </w:r>
      <w:r w:rsidRPr="008436F0">
        <w:rPr>
          <w:rFonts w:eastAsiaTheme="minorEastAsia"/>
          <w:spacing w:val="-2"/>
        </w:rPr>
        <w:t xml:space="preserve"> privitku:</w:t>
      </w:r>
    </w:p>
    <w:p w14:paraId="6429E9A6" w14:textId="2531D380" w:rsidR="0073606D" w:rsidRDefault="008436F0" w:rsidP="0073606D">
      <w:pPr>
        <w:widowControl w:val="0"/>
        <w:autoSpaceDE w:val="0"/>
        <w:autoSpaceDN w:val="0"/>
        <w:adjustRightInd w:val="0"/>
        <w:spacing w:before="1"/>
        <w:ind w:left="118"/>
        <w:jc w:val="both"/>
        <w:rPr>
          <w:rFonts w:eastAsiaTheme="minorEastAsia"/>
          <w:spacing w:val="-2"/>
        </w:rPr>
      </w:pPr>
      <w:r w:rsidRPr="008436F0">
        <w:rPr>
          <w:rFonts w:eastAsiaTheme="minorEastAsia"/>
        </w:rPr>
        <w:t>-</w:t>
      </w:r>
      <w:r w:rsidRPr="008436F0">
        <w:rPr>
          <w:rFonts w:eastAsiaTheme="minorEastAsia"/>
          <w:spacing w:val="-10"/>
        </w:rPr>
        <w:t xml:space="preserve"> </w:t>
      </w:r>
      <w:r w:rsidRPr="008436F0">
        <w:rPr>
          <w:rFonts w:eastAsiaTheme="minorEastAsia"/>
        </w:rPr>
        <w:t>Nacrt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prijedloga</w:t>
      </w:r>
      <w:r w:rsidRPr="008436F0">
        <w:rPr>
          <w:rFonts w:eastAsiaTheme="minorEastAsia"/>
          <w:spacing w:val="-7"/>
        </w:rPr>
        <w:t xml:space="preserve"> </w:t>
      </w:r>
      <w:r w:rsidRPr="008436F0">
        <w:rPr>
          <w:rFonts w:eastAsiaTheme="minorEastAsia"/>
          <w:spacing w:val="-2"/>
        </w:rPr>
        <w:t>Odluk</w:t>
      </w:r>
      <w:r w:rsidR="005C52A8">
        <w:rPr>
          <w:rFonts w:eastAsiaTheme="minorEastAsia"/>
          <w:spacing w:val="-2"/>
        </w:rPr>
        <w:t>e</w:t>
      </w:r>
      <w:bookmarkEnd w:id="0"/>
    </w:p>
    <w:p w14:paraId="038BA4EE" w14:textId="77777777" w:rsidR="0073606D" w:rsidRDefault="0073606D">
      <w:pPr>
        <w:spacing w:after="160" w:line="259" w:lineRule="auto"/>
        <w:rPr>
          <w:rFonts w:eastAsiaTheme="minorEastAsia"/>
          <w:spacing w:val="-2"/>
        </w:rPr>
      </w:pPr>
      <w:r>
        <w:rPr>
          <w:rFonts w:eastAsiaTheme="minorEastAsia"/>
          <w:spacing w:val="-2"/>
        </w:rPr>
        <w:br w:type="page"/>
      </w:r>
    </w:p>
    <w:p w14:paraId="16A15BE2" w14:textId="0FBBC14F" w:rsidR="0073606D" w:rsidRPr="0073606D" w:rsidRDefault="0073606D" w:rsidP="0073606D">
      <w:pPr>
        <w:jc w:val="both"/>
        <w:rPr>
          <w:b/>
          <w:color w:val="000000" w:themeColor="text1"/>
        </w:rPr>
      </w:pPr>
      <w:r w:rsidRPr="0073606D">
        <w:rPr>
          <w:b/>
          <w:color w:val="000000" w:themeColor="text1"/>
        </w:rPr>
        <w:lastRenderedPageBreak/>
        <w:t>NACRT ODLUKE</w:t>
      </w:r>
    </w:p>
    <w:p w14:paraId="3221F505" w14:textId="77777777" w:rsidR="0073606D" w:rsidRDefault="0073606D" w:rsidP="0073606D">
      <w:pPr>
        <w:jc w:val="both"/>
        <w:rPr>
          <w:bCs/>
          <w:color w:val="EE0000"/>
        </w:rPr>
      </w:pPr>
    </w:p>
    <w:p w14:paraId="143339F5" w14:textId="08C55D85" w:rsidR="0073606D" w:rsidRPr="0073606D" w:rsidRDefault="0073606D" w:rsidP="0073606D">
      <w:pPr>
        <w:jc w:val="both"/>
      </w:pPr>
      <w:r w:rsidRPr="00087702">
        <w:rPr>
          <w:bCs/>
        </w:rPr>
        <w:t xml:space="preserve">Na temelju članka 12. i 25. Zakona o </w:t>
      </w:r>
      <w:r w:rsidRPr="00087702">
        <w:t xml:space="preserve">sustavu strateškog planiranja i upravljanja razvojem Republike Hrvatske </w:t>
      </w:r>
      <w:r w:rsidRPr="00087702">
        <w:rPr>
          <w:bCs/>
        </w:rPr>
        <w:t xml:space="preserve">(„Narodne novine“ broj 123/17 i 151/22), Zakona o regionalnom </w:t>
      </w:r>
      <w:r w:rsidRPr="00087702">
        <w:t xml:space="preserve">razvoju Republike Hrvatske („Narodne novine“ br. 147/14, 123/17, 118/18), Zakona o prostornom uređenju </w:t>
      </w:r>
      <w:r w:rsidRPr="00087702">
        <w:rPr>
          <w:bCs/>
        </w:rPr>
        <w:t xml:space="preserve">(„Narodne novine“ broj155/25), </w:t>
      </w:r>
      <w:r w:rsidRPr="0073606D">
        <w:rPr>
          <w:bCs/>
        </w:rPr>
        <w:t xml:space="preserve">te </w:t>
      </w:r>
      <w:r w:rsidRPr="0073606D">
        <w:t>članka 30. Statuta Općine Virje („Službeni glasnik Koprivničko-križevačke županije“ broj 3/13, 3/18, 6/20, 3/21. i 5/21. – pročišćeni tekst), Općinsko vijeće Općine Virje na __. sjednici održanoj _______ 2026. godine donijelo je</w:t>
      </w:r>
    </w:p>
    <w:p w14:paraId="0C4329E6" w14:textId="77777777" w:rsidR="0073606D" w:rsidRPr="0073606D" w:rsidRDefault="0073606D" w:rsidP="0073606D">
      <w:pPr>
        <w:jc w:val="both"/>
      </w:pPr>
    </w:p>
    <w:p w14:paraId="07AB1162" w14:textId="77777777" w:rsidR="0073606D" w:rsidRPr="0073606D" w:rsidRDefault="0073606D" w:rsidP="0073606D">
      <w:pPr>
        <w:jc w:val="center"/>
        <w:rPr>
          <w:b/>
          <w:sz w:val="28"/>
          <w:szCs w:val="28"/>
        </w:rPr>
      </w:pPr>
    </w:p>
    <w:p w14:paraId="48C69240" w14:textId="77777777" w:rsidR="0073606D" w:rsidRPr="0073606D" w:rsidRDefault="0073606D" w:rsidP="0073606D">
      <w:pPr>
        <w:jc w:val="center"/>
        <w:rPr>
          <w:b/>
          <w:sz w:val="28"/>
          <w:szCs w:val="28"/>
        </w:rPr>
      </w:pPr>
      <w:r w:rsidRPr="0073606D">
        <w:rPr>
          <w:b/>
          <w:sz w:val="28"/>
          <w:szCs w:val="28"/>
        </w:rPr>
        <w:t>ODLUKU</w:t>
      </w:r>
    </w:p>
    <w:p w14:paraId="67B09A86" w14:textId="0E8634CC" w:rsidR="00087702" w:rsidRPr="00F874D0" w:rsidRDefault="0073606D" w:rsidP="00087702">
      <w:pPr>
        <w:widowControl w:val="0"/>
        <w:autoSpaceDE w:val="0"/>
        <w:autoSpaceDN w:val="0"/>
        <w:spacing w:before="8"/>
        <w:jc w:val="center"/>
        <w:rPr>
          <w:b/>
        </w:rPr>
      </w:pPr>
      <w:r w:rsidRPr="0073606D">
        <w:rPr>
          <w:b/>
          <w:sz w:val="28"/>
          <w:szCs w:val="28"/>
        </w:rPr>
        <w:t>o donošenju Strategije zelene urbane obnove Općine Virje</w:t>
      </w:r>
      <w:r w:rsidR="00087702">
        <w:rPr>
          <w:b/>
          <w:sz w:val="28"/>
          <w:szCs w:val="28"/>
        </w:rPr>
        <w:t xml:space="preserve"> za razdoblje </w:t>
      </w:r>
      <w:r w:rsidR="00087702" w:rsidRPr="00087702">
        <w:rPr>
          <w:b/>
          <w:sz w:val="28"/>
          <w:szCs w:val="28"/>
        </w:rPr>
        <w:t>od 2025. do 2035. godine</w:t>
      </w:r>
    </w:p>
    <w:p w14:paraId="04E57D31" w14:textId="7D24F98B" w:rsidR="0073606D" w:rsidRPr="0073606D" w:rsidRDefault="0073606D" w:rsidP="0073606D">
      <w:pPr>
        <w:jc w:val="center"/>
        <w:rPr>
          <w:b/>
          <w:sz w:val="28"/>
          <w:szCs w:val="28"/>
        </w:rPr>
      </w:pPr>
    </w:p>
    <w:p w14:paraId="72BEC1DE" w14:textId="77777777" w:rsidR="0073606D" w:rsidRDefault="0073606D" w:rsidP="0073606D">
      <w:pPr>
        <w:spacing w:before="120" w:after="120"/>
        <w:rPr>
          <w:b/>
          <w:sz w:val="28"/>
          <w:szCs w:val="28"/>
        </w:rPr>
      </w:pPr>
    </w:p>
    <w:p w14:paraId="1B2060CE" w14:textId="6A99D6B1" w:rsidR="0073606D" w:rsidRPr="0073606D" w:rsidRDefault="0073606D" w:rsidP="0073606D">
      <w:pPr>
        <w:spacing w:before="120" w:after="120"/>
        <w:jc w:val="center"/>
        <w:rPr>
          <w:b/>
        </w:rPr>
      </w:pPr>
      <w:r w:rsidRPr="0073606D">
        <w:rPr>
          <w:b/>
        </w:rPr>
        <w:t>Članak 1.</w:t>
      </w:r>
    </w:p>
    <w:p w14:paraId="442E7BC1" w14:textId="4FA12B5F" w:rsidR="0073606D" w:rsidRPr="0073606D" w:rsidRDefault="0073606D" w:rsidP="00087702">
      <w:pPr>
        <w:widowControl w:val="0"/>
        <w:autoSpaceDE w:val="0"/>
        <w:autoSpaceDN w:val="0"/>
        <w:spacing w:before="8"/>
        <w:ind w:firstLine="708"/>
      </w:pPr>
      <w:r w:rsidRPr="0073606D">
        <w:t>Ovom odlukom donosi se Strategija zelene urbane obnove Općine Virje</w:t>
      </w:r>
      <w:r w:rsidR="00087702">
        <w:t xml:space="preserve"> </w:t>
      </w:r>
      <w:r w:rsidR="00087702" w:rsidRPr="00087702">
        <w:t>za razdoblje od 2025. do 2035. godine</w:t>
      </w:r>
      <w:r w:rsidR="00087702">
        <w:t>.</w:t>
      </w:r>
    </w:p>
    <w:p w14:paraId="464E6870" w14:textId="77777777" w:rsidR="0073606D" w:rsidRPr="0073606D" w:rsidRDefault="0073606D" w:rsidP="0073606D">
      <w:pPr>
        <w:jc w:val="center"/>
        <w:rPr>
          <w:b/>
          <w:sz w:val="28"/>
          <w:szCs w:val="28"/>
        </w:rPr>
      </w:pPr>
    </w:p>
    <w:p w14:paraId="0BE370B7" w14:textId="2ACE2855" w:rsidR="0073606D" w:rsidRPr="0073606D" w:rsidRDefault="0073606D" w:rsidP="0073606D">
      <w:pPr>
        <w:spacing w:before="120" w:after="120"/>
        <w:jc w:val="center"/>
        <w:rPr>
          <w:b/>
        </w:rPr>
      </w:pPr>
      <w:r w:rsidRPr="0073606D">
        <w:rPr>
          <w:b/>
        </w:rPr>
        <w:t xml:space="preserve">Članak </w:t>
      </w:r>
      <w:r>
        <w:rPr>
          <w:b/>
        </w:rPr>
        <w:t>2</w:t>
      </w:r>
      <w:r w:rsidRPr="0073606D">
        <w:rPr>
          <w:b/>
        </w:rPr>
        <w:t>.</w:t>
      </w:r>
    </w:p>
    <w:p w14:paraId="2F67D281" w14:textId="77777777" w:rsidR="0073606D" w:rsidRPr="0073606D" w:rsidRDefault="0073606D" w:rsidP="0073606D">
      <w:pPr>
        <w:ind w:firstLine="708"/>
        <w:jc w:val="both"/>
      </w:pPr>
      <w:r w:rsidRPr="0073606D">
        <w:t>Strategija zelene urbane obnove Općine Virje je temeljni srednjoročni strateški dokument u kojem se određuju ciljevi i prioriteti razvoja.</w:t>
      </w:r>
    </w:p>
    <w:p w14:paraId="3D037747" w14:textId="77777777" w:rsidR="0073606D" w:rsidRPr="0073606D" w:rsidRDefault="0073606D" w:rsidP="0073606D">
      <w:pPr>
        <w:jc w:val="center"/>
        <w:rPr>
          <w:b/>
          <w:sz w:val="28"/>
          <w:szCs w:val="28"/>
        </w:rPr>
      </w:pPr>
    </w:p>
    <w:p w14:paraId="30BD5A48" w14:textId="41EE0B29" w:rsidR="0073606D" w:rsidRPr="0073606D" w:rsidRDefault="0073606D" w:rsidP="0073606D">
      <w:pPr>
        <w:spacing w:before="120" w:after="120"/>
        <w:jc w:val="center"/>
        <w:rPr>
          <w:b/>
        </w:rPr>
      </w:pPr>
      <w:r w:rsidRPr="0073606D">
        <w:rPr>
          <w:b/>
        </w:rPr>
        <w:t xml:space="preserve">Članak </w:t>
      </w:r>
      <w:r>
        <w:rPr>
          <w:b/>
        </w:rPr>
        <w:t>3</w:t>
      </w:r>
      <w:r w:rsidRPr="0073606D">
        <w:rPr>
          <w:b/>
        </w:rPr>
        <w:t>.</w:t>
      </w:r>
    </w:p>
    <w:p w14:paraId="6B3D4343" w14:textId="77777777" w:rsidR="0073606D" w:rsidRPr="0073606D" w:rsidRDefault="0073606D" w:rsidP="0073606D">
      <w:pPr>
        <w:ind w:firstLine="708"/>
        <w:jc w:val="both"/>
        <w:rPr>
          <w:strike/>
        </w:rPr>
      </w:pPr>
      <w:r w:rsidRPr="0073606D">
        <w:t>Strategija zelene urbane obnove Općine Virje nalazi se u prilogu i čini sastavni dio ove Odluke.</w:t>
      </w:r>
    </w:p>
    <w:p w14:paraId="7BF68DE0" w14:textId="77777777" w:rsidR="0073606D" w:rsidRDefault="0073606D" w:rsidP="0073606D">
      <w:pPr>
        <w:spacing w:before="120" w:after="120"/>
        <w:rPr>
          <w:b/>
          <w:sz w:val="28"/>
          <w:szCs w:val="28"/>
        </w:rPr>
      </w:pPr>
    </w:p>
    <w:p w14:paraId="7635CEE3" w14:textId="0E4A3D84" w:rsidR="0073606D" w:rsidRPr="0073606D" w:rsidRDefault="0073606D" w:rsidP="0073606D">
      <w:pPr>
        <w:spacing w:before="120" w:after="120"/>
        <w:jc w:val="center"/>
        <w:rPr>
          <w:b/>
        </w:rPr>
      </w:pPr>
      <w:r w:rsidRPr="0073606D">
        <w:rPr>
          <w:b/>
        </w:rPr>
        <w:t xml:space="preserve">Članak </w:t>
      </w:r>
      <w:r>
        <w:rPr>
          <w:b/>
        </w:rPr>
        <w:t>4</w:t>
      </w:r>
      <w:r w:rsidRPr="0073606D">
        <w:rPr>
          <w:b/>
        </w:rPr>
        <w:t>.</w:t>
      </w:r>
    </w:p>
    <w:p w14:paraId="094ECAA3" w14:textId="1CC009F2" w:rsidR="0073606D" w:rsidRPr="0073606D" w:rsidRDefault="0073606D" w:rsidP="0073606D">
      <w:pPr>
        <w:jc w:val="both"/>
      </w:pPr>
      <w:r w:rsidRPr="0073606D">
        <w:tab/>
        <w:t>Ova Odluka stupa na snag</w:t>
      </w:r>
      <w:r>
        <w:t xml:space="preserve">u </w:t>
      </w:r>
      <w:r w:rsidRPr="0073606D">
        <w:t>prvoga dana od dana objave u „Službenom glasniku Koprivničko-križevačke Županije“.</w:t>
      </w:r>
    </w:p>
    <w:p w14:paraId="2EC07F8C" w14:textId="77777777" w:rsidR="0073606D" w:rsidRDefault="0073606D" w:rsidP="0073606D">
      <w:pPr>
        <w:jc w:val="center"/>
        <w:rPr>
          <w:b/>
          <w:sz w:val="28"/>
          <w:szCs w:val="28"/>
        </w:rPr>
      </w:pPr>
    </w:p>
    <w:p w14:paraId="556FFFC0" w14:textId="77777777" w:rsidR="0073606D" w:rsidRPr="0073606D" w:rsidRDefault="0073606D" w:rsidP="0073606D">
      <w:pPr>
        <w:jc w:val="center"/>
        <w:rPr>
          <w:b/>
          <w:sz w:val="28"/>
          <w:szCs w:val="28"/>
        </w:rPr>
      </w:pPr>
    </w:p>
    <w:p w14:paraId="29E9D768" w14:textId="77777777" w:rsidR="0073606D" w:rsidRPr="0073606D" w:rsidRDefault="0073606D" w:rsidP="0073606D">
      <w:pPr>
        <w:jc w:val="center"/>
        <w:rPr>
          <w:b/>
        </w:rPr>
      </w:pPr>
      <w:r w:rsidRPr="0073606D">
        <w:rPr>
          <w:b/>
        </w:rPr>
        <w:t>OPĆINSKO VIJEĆE OPĆINE VIRJE</w:t>
      </w:r>
    </w:p>
    <w:p w14:paraId="0AF97771" w14:textId="77777777" w:rsidR="0073606D" w:rsidRPr="0073606D" w:rsidRDefault="0073606D" w:rsidP="0073606D">
      <w:pPr>
        <w:jc w:val="center"/>
        <w:rPr>
          <w:b/>
        </w:rPr>
      </w:pPr>
    </w:p>
    <w:p w14:paraId="1F67E88B" w14:textId="143DCE68" w:rsidR="0073606D" w:rsidRPr="0073606D" w:rsidRDefault="0073606D" w:rsidP="0073606D">
      <w:r w:rsidRPr="0073606D">
        <w:t xml:space="preserve">KLASA: </w:t>
      </w:r>
      <w:r w:rsidR="00087702">
        <w:t>350-01/26-01/__</w:t>
      </w:r>
    </w:p>
    <w:p w14:paraId="7050E2B4" w14:textId="3269ACD1" w:rsidR="0073606D" w:rsidRDefault="0073606D" w:rsidP="0073606D">
      <w:r w:rsidRPr="0073606D">
        <w:t xml:space="preserve">URBROJ: </w:t>
      </w:r>
      <w:r w:rsidR="00087702">
        <w:t>2137-18-01/1-26-1</w:t>
      </w:r>
    </w:p>
    <w:p w14:paraId="3690A86D" w14:textId="77777777" w:rsidR="00087702" w:rsidRPr="0073606D" w:rsidRDefault="00087702" w:rsidP="0073606D"/>
    <w:p w14:paraId="6A15F4CC" w14:textId="4BEA7D76" w:rsidR="0073606D" w:rsidRPr="0073606D" w:rsidRDefault="0073606D" w:rsidP="0073606D">
      <w:r w:rsidRPr="0073606D">
        <w:t xml:space="preserve">Virje, </w:t>
      </w:r>
      <w:r w:rsidR="00087702">
        <w:t>_</w:t>
      </w:r>
      <w:r w:rsidRPr="0073606D">
        <w:t xml:space="preserve">_. </w:t>
      </w:r>
      <w:r w:rsidR="00904020">
        <w:t xml:space="preserve">______ </w:t>
      </w:r>
      <w:r w:rsidRPr="0073606D">
        <w:t>2026.</w:t>
      </w:r>
    </w:p>
    <w:p w14:paraId="675D150B" w14:textId="77777777" w:rsidR="0073606D" w:rsidRPr="0073606D" w:rsidRDefault="0073606D" w:rsidP="0073606D">
      <w:pPr>
        <w:jc w:val="center"/>
        <w:rPr>
          <w:b/>
        </w:rPr>
      </w:pPr>
    </w:p>
    <w:p w14:paraId="78FD2627" w14:textId="77777777" w:rsidR="0073606D" w:rsidRPr="0073606D" w:rsidRDefault="0073606D" w:rsidP="0073606D">
      <w:pPr>
        <w:ind w:left="4248" w:firstLine="708"/>
        <w:jc w:val="center"/>
        <w:rPr>
          <w:b/>
          <w:bCs/>
          <w:color w:val="000000" w:themeColor="text1"/>
        </w:rPr>
      </w:pPr>
      <w:r w:rsidRPr="0073606D">
        <w:rPr>
          <w:b/>
          <w:bCs/>
          <w:color w:val="000000" w:themeColor="text1"/>
        </w:rPr>
        <w:t>PREDSJEDNICA:</w:t>
      </w:r>
    </w:p>
    <w:p w14:paraId="22AD9A3C" w14:textId="77777777" w:rsidR="0073606D" w:rsidRPr="0073606D" w:rsidRDefault="0073606D" w:rsidP="0073606D">
      <w:pPr>
        <w:ind w:left="4248" w:firstLine="708"/>
        <w:jc w:val="center"/>
        <w:rPr>
          <w:b/>
          <w:bCs/>
          <w:color w:val="000000" w:themeColor="text1"/>
        </w:rPr>
      </w:pPr>
      <w:r w:rsidRPr="0073606D">
        <w:rPr>
          <w:b/>
          <w:bCs/>
          <w:color w:val="000000" w:themeColor="text1"/>
        </w:rPr>
        <w:t>Ivana Kuštrak</w:t>
      </w:r>
    </w:p>
    <w:p w14:paraId="7902B135" w14:textId="77777777" w:rsidR="0073606D" w:rsidRPr="0073606D" w:rsidRDefault="0073606D" w:rsidP="0073606D"/>
    <w:p w14:paraId="77552E0B" w14:textId="77777777" w:rsidR="0073606D" w:rsidRPr="0073606D" w:rsidRDefault="0073606D" w:rsidP="0073606D"/>
    <w:p w14:paraId="19D45C80" w14:textId="77777777" w:rsidR="0073606D" w:rsidRPr="0073606D" w:rsidRDefault="0073606D" w:rsidP="0073606D"/>
    <w:p w14:paraId="02ED61C3" w14:textId="77777777" w:rsidR="0073606D" w:rsidRPr="0073606D" w:rsidRDefault="0073606D" w:rsidP="0073606D"/>
    <w:p w14:paraId="3A22B92F" w14:textId="77777777" w:rsidR="0073606D" w:rsidRPr="0073606D" w:rsidRDefault="0073606D" w:rsidP="0073606D">
      <w:pPr>
        <w:tabs>
          <w:tab w:val="left" w:pos="5805"/>
        </w:tabs>
      </w:pPr>
    </w:p>
    <w:p w14:paraId="61271CAF" w14:textId="77777777" w:rsidR="0073606D" w:rsidRPr="0073606D" w:rsidRDefault="0073606D" w:rsidP="0073606D">
      <w:pPr>
        <w:jc w:val="center"/>
        <w:rPr>
          <w:rFonts w:eastAsia="Calibri"/>
          <w:b/>
          <w:color w:val="000000"/>
          <w:lang w:eastAsia="en-US"/>
        </w:rPr>
      </w:pPr>
      <w:r w:rsidRPr="0073606D">
        <w:rPr>
          <w:b/>
          <w:color w:val="000000"/>
        </w:rPr>
        <w:t>OBRAZLOŽENJE</w:t>
      </w:r>
    </w:p>
    <w:p w14:paraId="348452E5" w14:textId="77777777" w:rsidR="0073606D" w:rsidRPr="0073606D" w:rsidRDefault="0073606D" w:rsidP="0073606D">
      <w:pPr>
        <w:rPr>
          <w:b/>
          <w:color w:val="000000"/>
          <w:sz w:val="22"/>
          <w:szCs w:val="22"/>
        </w:rPr>
      </w:pPr>
    </w:p>
    <w:p w14:paraId="536CF58E" w14:textId="77777777" w:rsidR="0073606D" w:rsidRPr="0073606D" w:rsidRDefault="0073606D" w:rsidP="0073606D">
      <w:pPr>
        <w:numPr>
          <w:ilvl w:val="0"/>
          <w:numId w:val="9"/>
        </w:numPr>
        <w:spacing w:before="160" w:after="160" w:line="256" w:lineRule="auto"/>
        <w:ind w:left="714" w:hanging="357"/>
        <w:contextualSpacing/>
        <w:jc w:val="both"/>
        <w:rPr>
          <w:b/>
          <w:bCs/>
        </w:rPr>
      </w:pPr>
      <w:r w:rsidRPr="0073606D">
        <w:rPr>
          <w:b/>
          <w:bCs/>
        </w:rPr>
        <w:t>Zakonska osnova</w:t>
      </w:r>
    </w:p>
    <w:p w14:paraId="161524AD" w14:textId="77777777" w:rsidR="0073606D" w:rsidRPr="0073606D" w:rsidRDefault="0073606D" w:rsidP="0073606D">
      <w:pPr>
        <w:ind w:firstLine="709"/>
        <w:jc w:val="both"/>
      </w:pPr>
      <w:r w:rsidRPr="0073606D">
        <w:t xml:space="preserve">Zakon o sustavu strateškog planiranja i upravljanja razvojem Republike Hrvatske („Narodne novine“ broj 123/17 i 151/22), članak 41., </w:t>
      </w:r>
      <w:r w:rsidRPr="0073606D">
        <w:rPr>
          <w:bCs/>
        </w:rPr>
        <w:t xml:space="preserve">Zakon o regionalnom </w:t>
      </w:r>
      <w:r w:rsidRPr="0073606D">
        <w:t xml:space="preserve">razvoju Republike Hrvatske („Narodne novine“ br. 147/14, 123/17, 118/18), Zakon o prostornom uređenju </w:t>
      </w:r>
      <w:r w:rsidRPr="0073606D">
        <w:rPr>
          <w:bCs/>
        </w:rPr>
        <w:t xml:space="preserve">(„Narodne novine“ broj 55/25), </w:t>
      </w:r>
      <w:r w:rsidRPr="0073606D">
        <w:t>Statuta Općine Virje („Službeni glasnik Koprivničko-križevačke županije“ broj 3/13, 3/18, 6/20, 3/21. i 5/21. – pročišćeni tekst) članak 30.</w:t>
      </w:r>
    </w:p>
    <w:p w14:paraId="442CBD64" w14:textId="77777777" w:rsidR="0073606D" w:rsidRPr="0073606D" w:rsidRDefault="0073606D" w:rsidP="0073606D">
      <w:pPr>
        <w:jc w:val="both"/>
      </w:pPr>
    </w:p>
    <w:p w14:paraId="036A762E" w14:textId="77777777" w:rsidR="0073606D" w:rsidRPr="0073606D" w:rsidRDefault="0073606D" w:rsidP="0073606D">
      <w:pPr>
        <w:numPr>
          <w:ilvl w:val="0"/>
          <w:numId w:val="9"/>
        </w:numPr>
        <w:contextualSpacing/>
        <w:jc w:val="both"/>
        <w:rPr>
          <w:b/>
          <w:bCs/>
        </w:rPr>
      </w:pPr>
      <w:r w:rsidRPr="0073606D">
        <w:rPr>
          <w:b/>
          <w:bCs/>
        </w:rPr>
        <w:t>Ciljevi, obuhvat i strateški okvir Strategije zelene urbane obnove Općine Virje</w:t>
      </w:r>
    </w:p>
    <w:p w14:paraId="6346B71B" w14:textId="77777777" w:rsidR="0073606D" w:rsidRPr="0073606D" w:rsidRDefault="0073606D" w:rsidP="0073606D">
      <w:pPr>
        <w:jc w:val="both"/>
      </w:pPr>
    </w:p>
    <w:p w14:paraId="2AEB7987" w14:textId="77777777" w:rsidR="0073606D" w:rsidRPr="0073606D" w:rsidRDefault="0073606D" w:rsidP="0073606D">
      <w:pPr>
        <w:ind w:firstLine="708"/>
        <w:jc w:val="both"/>
      </w:pPr>
      <w:r w:rsidRPr="0073606D">
        <w:t xml:space="preserve">Strategija zelene urbane obnove Općine Virje ima za cilj poticanje održivog, dugoročnog i cjelovitog razvoja Općine, s posebnim naglaskom na očuvanje prirodnih resursa, unapređenje kvalitete prostora i povećanje otpornosti na klimatske i okolišne izazove. </w:t>
      </w:r>
    </w:p>
    <w:p w14:paraId="26A1E70B" w14:textId="77777777" w:rsidR="0073606D" w:rsidRPr="0073606D" w:rsidRDefault="0073606D" w:rsidP="0073606D">
      <w:pPr>
        <w:ind w:firstLine="708"/>
        <w:jc w:val="both"/>
      </w:pPr>
      <w:r w:rsidRPr="0073606D">
        <w:t xml:space="preserve">Strategija je u skladu s europskim, nacionalnim i regionalnim politikama koje podupiru zelenu tranziciju, održivo upravljanje prostorom i resursima te prilagodbu klimatskim promjenama. Ključna područja djelovanja uključuju razvoj i unapređenje zelene infrastrukture, primjenu principa kružnog gospodarenja prostorom i zgradama, revitalizaciju postojećih objekata i javnih prostora te održivo korištenje prirodnih resursa. </w:t>
      </w:r>
    </w:p>
    <w:p w14:paraId="2C2950E9" w14:textId="77777777" w:rsidR="0073606D" w:rsidRPr="0073606D" w:rsidRDefault="0073606D" w:rsidP="0073606D">
      <w:pPr>
        <w:ind w:firstLine="708"/>
        <w:jc w:val="both"/>
      </w:pPr>
      <w:r w:rsidRPr="0073606D">
        <w:t>Strategija također teži poboljšanju kvalitete života stanovnika Općine Virje kroz stvaranje funkcionalnih, zdravih i održivih životnih uvjeta, povećanje dostupnosti i kvalitete javnih prostora te poticanje održivog društvenog i gospodarskog razvoja. Posebna pažnja posvećuje se revitalizaciji i prenamjeni zapuštenih ili nedovoljno iskorištenih prostora u javne, društvene, rekreacijske ili gospodarske sadržaje, uz integraciju prirodnih elemenata u prostorno planiranje. Time se osigurava dugoročno održivo upravljanje prostorom, očuvanje prirodnih, krajobraznih i kulturnih vrijednosti te jačanje identiteta Općine Virje.</w:t>
      </w:r>
    </w:p>
    <w:p w14:paraId="4811D229" w14:textId="77777777" w:rsidR="0073606D" w:rsidRPr="0073606D" w:rsidRDefault="0073606D" w:rsidP="0073606D">
      <w:pPr>
        <w:ind w:firstLine="708"/>
        <w:jc w:val="both"/>
      </w:pPr>
      <w:r w:rsidRPr="0073606D">
        <w:t xml:space="preserve">Strategija zelene urbane obnove Općine Virje izrađuje se za vremenski obuhvat od 2025. do 2035. godine. Razdoblje provedbe Strategije zelene urbane obnove Općine Virje temelji se na važećim nacionalnim i europskim strateškim dokumentima te financijskim planovima. Strategija se dakle primjenjuje u srednjoročnom razdoblju do 2035. godine, osiguravajući usklađenost s nacionalnim razvojnim ciljevima, programskim razdobljima Europske unije i dostupnim financijskim instrumentima za projekte zelene tranzicije, klimatske prilagodbe i održivog razvoja prostora. Ovo razdoblje omogućuje povezivanje strateškog planiranja s mogućnostima financiranja kroz programe razvoja zelene infrastrukture, obnove prostora i primjene načela kružnog gospodarstva. </w:t>
      </w:r>
    </w:p>
    <w:p w14:paraId="6EB84EBA" w14:textId="77777777" w:rsidR="0073606D" w:rsidRPr="0073606D" w:rsidRDefault="0073606D" w:rsidP="0073606D">
      <w:pPr>
        <w:ind w:firstLine="708"/>
        <w:jc w:val="both"/>
      </w:pPr>
      <w:r w:rsidRPr="0073606D">
        <w:t xml:space="preserve">Osim srednjoročnog razdoblja, Strategija obuhvaća i dugoročnu razvojnu perspektivu Općine Virje, s naglaskom na održivo upravljanje prostorom i prirodnim resursima. Dugoročna vizija omogućuje prilagodbu klimatskim promjenama, jačanje otpornosti na klimatske rizike, razvoj zelene infrastrukture te obnovu i prenamjenu postojećih građevina i prostora. Poseban fokus stavljen je na očuvanje prirodnih resursa, racionalno korištenje prostora i unapređenje kvalitete života, čime se osigurava dugoročno održiv i uravnotežen razvoj Općine Virje. </w:t>
      </w:r>
    </w:p>
    <w:p w14:paraId="2FB11BA0" w14:textId="77777777" w:rsidR="0073606D" w:rsidRPr="0073606D" w:rsidRDefault="0073606D" w:rsidP="0073606D">
      <w:pPr>
        <w:ind w:firstLine="708"/>
        <w:jc w:val="both"/>
      </w:pPr>
      <w:r w:rsidRPr="0073606D">
        <w:t>Strategija razvoja zelene urbane obnove Općine Virje izrađuje se u skladu s relevantnim dokumentima strateškog planiranja na lokalnoj, regionalnoj i nacionalnoj razini. Sadržajno se nadovezuje na nacionalni okvir razvoja zelene infrastrukture te osigurava usklađenost s ključnim ciljevima: razvoj i upravljanje zelenom infrastrukturom, jačanje otpornosti na klimatske promjene, unapređenje kvalitete života te očuvanjem okoliša i krajobraznih vrijednosti.</w:t>
      </w:r>
    </w:p>
    <w:p w14:paraId="436C573C" w14:textId="7DDBE471" w:rsidR="0073606D" w:rsidRPr="0073606D" w:rsidRDefault="0073606D" w:rsidP="00904020">
      <w:pPr>
        <w:ind w:firstLine="708"/>
        <w:jc w:val="both"/>
      </w:pPr>
      <w:r w:rsidRPr="0073606D">
        <w:lastRenderedPageBreak/>
        <w:t>Sve planirane aktivnosti Strategije su u skladu s principom ne nanošenja značajne štete (DNSH) i zelenom komponentom NPOO-a.</w:t>
      </w:r>
    </w:p>
    <w:p w14:paraId="2E5B757C" w14:textId="77777777" w:rsidR="0073606D" w:rsidRDefault="0073606D" w:rsidP="0073606D">
      <w:pPr>
        <w:ind w:firstLine="357"/>
        <w:jc w:val="both"/>
      </w:pPr>
      <w:r w:rsidRPr="0073606D">
        <w:t>Slijedom svega navedenog predlaže usvajanje Odluke o donošenju Strategije zelene urbane obnove Općine Virje.</w:t>
      </w:r>
    </w:p>
    <w:p w14:paraId="4090A98D" w14:textId="77777777" w:rsidR="0073606D" w:rsidRPr="0073606D" w:rsidRDefault="0073606D" w:rsidP="0073606D">
      <w:pPr>
        <w:ind w:firstLine="357"/>
        <w:jc w:val="both"/>
      </w:pPr>
    </w:p>
    <w:p w14:paraId="05B6E3FA" w14:textId="77777777" w:rsidR="0073606D" w:rsidRPr="0073606D" w:rsidRDefault="0073606D" w:rsidP="0073606D">
      <w:pPr>
        <w:numPr>
          <w:ilvl w:val="0"/>
          <w:numId w:val="9"/>
        </w:numPr>
        <w:spacing w:before="160" w:after="160" w:line="256" w:lineRule="auto"/>
        <w:ind w:left="714" w:hanging="357"/>
        <w:contextualSpacing/>
        <w:jc w:val="both"/>
        <w:rPr>
          <w:b/>
          <w:bCs/>
        </w:rPr>
      </w:pPr>
      <w:r w:rsidRPr="0073606D">
        <w:rPr>
          <w:b/>
          <w:bCs/>
        </w:rPr>
        <w:t>Potrebna sredstva za provedbu akta</w:t>
      </w:r>
    </w:p>
    <w:p w14:paraId="54549DB3" w14:textId="30955931" w:rsidR="0073606D" w:rsidRPr="0073606D" w:rsidRDefault="0073606D" w:rsidP="0073606D">
      <w:pPr>
        <w:ind w:firstLine="709"/>
        <w:jc w:val="both"/>
      </w:pPr>
      <w:r w:rsidRPr="0073606D">
        <w:t xml:space="preserve">Za izradu Strategije zelene urbane obnove </w:t>
      </w:r>
      <w:r>
        <w:t xml:space="preserve">Općine Virje </w:t>
      </w:r>
      <w:r w:rsidRPr="0073606D">
        <w:t>osigurana su sredstva u Proračunu Općine Virje.</w:t>
      </w:r>
    </w:p>
    <w:p w14:paraId="4D32B87D" w14:textId="77777777" w:rsidR="0073606D" w:rsidRPr="0073606D" w:rsidRDefault="0073606D" w:rsidP="0073606D">
      <w:pPr>
        <w:ind w:firstLine="708"/>
      </w:pPr>
    </w:p>
    <w:p w14:paraId="2DDC72CC" w14:textId="77777777" w:rsidR="0073606D" w:rsidRPr="0073606D" w:rsidRDefault="0073606D" w:rsidP="0073606D">
      <w:pPr>
        <w:tabs>
          <w:tab w:val="left" w:pos="5805"/>
        </w:tabs>
      </w:pPr>
    </w:p>
    <w:p w14:paraId="3A8897BC" w14:textId="77777777" w:rsidR="00AD3FC4" w:rsidRPr="0073606D" w:rsidRDefault="00AD3FC4" w:rsidP="0073606D">
      <w:pPr>
        <w:widowControl w:val="0"/>
        <w:autoSpaceDE w:val="0"/>
        <w:autoSpaceDN w:val="0"/>
        <w:adjustRightInd w:val="0"/>
        <w:spacing w:before="1"/>
        <w:ind w:left="118"/>
        <w:jc w:val="both"/>
        <w:rPr>
          <w:rFonts w:eastAsiaTheme="minorEastAsia"/>
          <w:spacing w:val="-2"/>
        </w:rPr>
      </w:pPr>
    </w:p>
    <w:sectPr w:rsidR="00AD3FC4" w:rsidRPr="0073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059"/>
    <w:multiLevelType w:val="hybridMultilevel"/>
    <w:tmpl w:val="6D001B6C"/>
    <w:lvl w:ilvl="0" w:tplc="B47A2B3E">
      <w:numFmt w:val="bullet"/>
      <w:lvlText w:val="-"/>
      <w:lvlJc w:val="left"/>
      <w:pPr>
        <w:ind w:left="503" w:hanging="360"/>
      </w:pPr>
      <w:rPr>
        <w:rFonts w:ascii="Times New Roman" w:eastAsia="Tahom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" w15:restartNumberingAfterBreak="0">
    <w:nsid w:val="1CC02824"/>
    <w:multiLevelType w:val="hybridMultilevel"/>
    <w:tmpl w:val="2C3A3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50BD"/>
    <w:multiLevelType w:val="hybridMultilevel"/>
    <w:tmpl w:val="596E26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361AE6"/>
    <w:multiLevelType w:val="hybridMultilevel"/>
    <w:tmpl w:val="BEF20356"/>
    <w:lvl w:ilvl="0" w:tplc="9C82C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F0AEC"/>
    <w:multiLevelType w:val="hybridMultilevel"/>
    <w:tmpl w:val="84AAE168"/>
    <w:lvl w:ilvl="0" w:tplc="9E7A5F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6D1FDE"/>
    <w:multiLevelType w:val="hybridMultilevel"/>
    <w:tmpl w:val="8AB00C8C"/>
    <w:lvl w:ilvl="0" w:tplc="9EEEC2A0">
      <w:numFmt w:val="bullet"/>
      <w:lvlText w:val="-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030C1E00">
      <w:numFmt w:val="bullet"/>
      <w:lvlText w:val="•"/>
      <w:lvlJc w:val="left"/>
      <w:pPr>
        <w:ind w:left="2043" w:hanging="360"/>
      </w:pPr>
      <w:rPr>
        <w:rFonts w:hint="default"/>
        <w:lang w:val="bs" w:eastAsia="en-US" w:bidi="ar-SA"/>
      </w:rPr>
    </w:lvl>
    <w:lvl w:ilvl="2" w:tplc="45E84E0E">
      <w:numFmt w:val="bullet"/>
      <w:lvlText w:val="•"/>
      <w:lvlJc w:val="left"/>
      <w:pPr>
        <w:ind w:left="2887" w:hanging="360"/>
      </w:pPr>
      <w:rPr>
        <w:rFonts w:hint="default"/>
        <w:lang w:val="bs" w:eastAsia="en-US" w:bidi="ar-SA"/>
      </w:rPr>
    </w:lvl>
    <w:lvl w:ilvl="3" w:tplc="F084949A">
      <w:numFmt w:val="bullet"/>
      <w:lvlText w:val="•"/>
      <w:lvlJc w:val="left"/>
      <w:pPr>
        <w:ind w:left="3731" w:hanging="360"/>
      </w:pPr>
      <w:rPr>
        <w:rFonts w:hint="default"/>
        <w:lang w:val="bs" w:eastAsia="en-US" w:bidi="ar-SA"/>
      </w:rPr>
    </w:lvl>
    <w:lvl w:ilvl="4" w:tplc="437E8694">
      <w:numFmt w:val="bullet"/>
      <w:lvlText w:val="•"/>
      <w:lvlJc w:val="left"/>
      <w:pPr>
        <w:ind w:left="4575" w:hanging="360"/>
      </w:pPr>
      <w:rPr>
        <w:rFonts w:hint="default"/>
        <w:lang w:val="bs" w:eastAsia="en-US" w:bidi="ar-SA"/>
      </w:rPr>
    </w:lvl>
    <w:lvl w:ilvl="5" w:tplc="3BBAB4B8">
      <w:numFmt w:val="bullet"/>
      <w:lvlText w:val="•"/>
      <w:lvlJc w:val="left"/>
      <w:pPr>
        <w:ind w:left="5419" w:hanging="360"/>
      </w:pPr>
      <w:rPr>
        <w:rFonts w:hint="default"/>
        <w:lang w:val="bs" w:eastAsia="en-US" w:bidi="ar-SA"/>
      </w:rPr>
    </w:lvl>
    <w:lvl w:ilvl="6" w:tplc="98462168">
      <w:numFmt w:val="bullet"/>
      <w:lvlText w:val="•"/>
      <w:lvlJc w:val="left"/>
      <w:pPr>
        <w:ind w:left="6263" w:hanging="360"/>
      </w:pPr>
      <w:rPr>
        <w:rFonts w:hint="default"/>
        <w:lang w:val="bs" w:eastAsia="en-US" w:bidi="ar-SA"/>
      </w:rPr>
    </w:lvl>
    <w:lvl w:ilvl="7" w:tplc="D67A86B4">
      <w:numFmt w:val="bullet"/>
      <w:lvlText w:val="•"/>
      <w:lvlJc w:val="left"/>
      <w:pPr>
        <w:ind w:left="7107" w:hanging="360"/>
      </w:pPr>
      <w:rPr>
        <w:rFonts w:hint="default"/>
        <w:lang w:val="bs" w:eastAsia="en-US" w:bidi="ar-SA"/>
      </w:rPr>
    </w:lvl>
    <w:lvl w:ilvl="8" w:tplc="2722CB5C">
      <w:numFmt w:val="bullet"/>
      <w:lvlText w:val="•"/>
      <w:lvlJc w:val="left"/>
      <w:pPr>
        <w:ind w:left="7951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50C0244A"/>
    <w:multiLevelType w:val="hybridMultilevel"/>
    <w:tmpl w:val="F4CCBB64"/>
    <w:lvl w:ilvl="0" w:tplc="7FA2D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F313E"/>
    <w:multiLevelType w:val="hybridMultilevel"/>
    <w:tmpl w:val="A7ACD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6303C"/>
    <w:multiLevelType w:val="hybridMultilevel"/>
    <w:tmpl w:val="641629F8"/>
    <w:lvl w:ilvl="0" w:tplc="698223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54064">
    <w:abstractNumId w:val="3"/>
  </w:num>
  <w:num w:numId="2" w16cid:durableId="153184861">
    <w:abstractNumId w:val="4"/>
  </w:num>
  <w:num w:numId="3" w16cid:durableId="1315380537">
    <w:abstractNumId w:val="6"/>
  </w:num>
  <w:num w:numId="4" w16cid:durableId="70129755">
    <w:abstractNumId w:val="5"/>
  </w:num>
  <w:num w:numId="5" w16cid:durableId="1282346904">
    <w:abstractNumId w:val="0"/>
  </w:num>
  <w:num w:numId="6" w16cid:durableId="1700352678">
    <w:abstractNumId w:val="7"/>
  </w:num>
  <w:num w:numId="7" w16cid:durableId="352154379">
    <w:abstractNumId w:val="2"/>
  </w:num>
  <w:num w:numId="8" w16cid:durableId="247618252">
    <w:abstractNumId w:val="1"/>
  </w:num>
  <w:num w:numId="9" w16cid:durableId="576866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43"/>
    <w:rsid w:val="00087702"/>
    <w:rsid w:val="0009524E"/>
    <w:rsid w:val="00097DD6"/>
    <w:rsid w:val="000B5BE7"/>
    <w:rsid w:val="000D54F0"/>
    <w:rsid w:val="001721BB"/>
    <w:rsid w:val="002564BC"/>
    <w:rsid w:val="0028320E"/>
    <w:rsid w:val="002D45E2"/>
    <w:rsid w:val="002E4A3C"/>
    <w:rsid w:val="00335028"/>
    <w:rsid w:val="003A735F"/>
    <w:rsid w:val="00443182"/>
    <w:rsid w:val="004A3C6B"/>
    <w:rsid w:val="004B1905"/>
    <w:rsid w:val="00513164"/>
    <w:rsid w:val="00524576"/>
    <w:rsid w:val="005C52A8"/>
    <w:rsid w:val="00675E81"/>
    <w:rsid w:val="006A6710"/>
    <w:rsid w:val="006C2951"/>
    <w:rsid w:val="006C326A"/>
    <w:rsid w:val="006F7106"/>
    <w:rsid w:val="00721F93"/>
    <w:rsid w:val="0073606D"/>
    <w:rsid w:val="0076766C"/>
    <w:rsid w:val="007778C3"/>
    <w:rsid w:val="00797FFA"/>
    <w:rsid w:val="007B3B83"/>
    <w:rsid w:val="008317DB"/>
    <w:rsid w:val="00834CCC"/>
    <w:rsid w:val="008436F0"/>
    <w:rsid w:val="0085749D"/>
    <w:rsid w:val="008735EF"/>
    <w:rsid w:val="008858B9"/>
    <w:rsid w:val="008E0C03"/>
    <w:rsid w:val="00904020"/>
    <w:rsid w:val="00932CDA"/>
    <w:rsid w:val="009F62BA"/>
    <w:rsid w:val="009F7858"/>
    <w:rsid w:val="00A4103B"/>
    <w:rsid w:val="00A53BB7"/>
    <w:rsid w:val="00A80F9F"/>
    <w:rsid w:val="00A9405E"/>
    <w:rsid w:val="00A96CEB"/>
    <w:rsid w:val="00AD3FC4"/>
    <w:rsid w:val="00AE6706"/>
    <w:rsid w:val="00B03EA0"/>
    <w:rsid w:val="00B67754"/>
    <w:rsid w:val="00BC7225"/>
    <w:rsid w:val="00C52357"/>
    <w:rsid w:val="00C63D75"/>
    <w:rsid w:val="00C92DCB"/>
    <w:rsid w:val="00CA1447"/>
    <w:rsid w:val="00CB74FF"/>
    <w:rsid w:val="00CC7AAE"/>
    <w:rsid w:val="00CE55B9"/>
    <w:rsid w:val="00CF2794"/>
    <w:rsid w:val="00CF7EDE"/>
    <w:rsid w:val="00D03834"/>
    <w:rsid w:val="00D13029"/>
    <w:rsid w:val="00D33FF4"/>
    <w:rsid w:val="00E31C01"/>
    <w:rsid w:val="00E423C0"/>
    <w:rsid w:val="00E4578F"/>
    <w:rsid w:val="00E92859"/>
    <w:rsid w:val="00EA5318"/>
    <w:rsid w:val="00F14A4F"/>
    <w:rsid w:val="00F36F9C"/>
    <w:rsid w:val="00F41D43"/>
    <w:rsid w:val="00F874D0"/>
    <w:rsid w:val="00FA3ACC"/>
    <w:rsid w:val="00FD104B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74ED"/>
  <w15:chartTrackingRefBased/>
  <w15:docId w15:val="{A6C602C3-72CA-48EA-9E9F-CD5BBFB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1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436F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43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AD3FC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F874D0"/>
    <w:pPr>
      <w:widowControl w:val="0"/>
      <w:autoSpaceDE w:val="0"/>
      <w:autoSpaceDN w:val="0"/>
      <w:spacing w:before="20"/>
    </w:pPr>
    <w:rPr>
      <w:rFonts w:ascii="Tahoma" w:eastAsia="Tahoma" w:hAnsi="Tahoma" w:cs="Tahoma"/>
      <w:sz w:val="22"/>
      <w:szCs w:val="22"/>
      <w:lang w:val="b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874D0"/>
    <w:rPr>
      <w:rFonts w:ascii="Tahoma" w:eastAsia="Tahoma" w:hAnsi="Tahoma" w:cs="Tahoma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@vir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DEC7-E6A3-46E1-BE23-7B07D1AE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45</cp:revision>
  <cp:lastPrinted>2025-10-20T08:09:00Z</cp:lastPrinted>
  <dcterms:created xsi:type="dcterms:W3CDTF">2020-05-26T08:43:00Z</dcterms:created>
  <dcterms:modified xsi:type="dcterms:W3CDTF">2026-04-24T09:13:00Z</dcterms:modified>
</cp:coreProperties>
</file>