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A25A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  <w:b/>
          <w:bCs/>
          <w:spacing w:val="-14"/>
        </w:rPr>
      </w:pPr>
      <w:bookmarkStart w:id="0" w:name="_Hlk145412164"/>
      <w:r w:rsidRPr="008436F0">
        <w:rPr>
          <w:rFonts w:eastAsiaTheme="minorEastAsia"/>
          <w:noProof/>
        </w:rPr>
        <w:drawing>
          <wp:anchor distT="0" distB="0" distL="0" distR="0" simplePos="0" relativeHeight="251659264" behindDoc="1" locked="0" layoutInCell="1" allowOverlap="1" wp14:anchorId="77E4C01C" wp14:editId="1DAAD83A">
            <wp:simplePos x="0" y="0"/>
            <wp:positionH relativeFrom="page">
              <wp:posOffset>2009775</wp:posOffset>
            </wp:positionH>
            <wp:positionV relativeFrom="paragraph">
              <wp:posOffset>130175</wp:posOffset>
            </wp:positionV>
            <wp:extent cx="495300" cy="609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F0">
        <w:rPr>
          <w:rFonts w:eastAsiaTheme="minorEastAsia"/>
          <w:b/>
          <w:bCs/>
        </w:rPr>
        <w:t xml:space="preserve">              REPUBLIKA</w:t>
      </w:r>
      <w:r w:rsidRPr="008436F0">
        <w:rPr>
          <w:rFonts w:eastAsiaTheme="minorEastAsia"/>
          <w:b/>
          <w:bCs/>
          <w:spacing w:val="-2"/>
        </w:rPr>
        <w:t xml:space="preserve"> </w:t>
      </w:r>
      <w:r w:rsidRPr="008436F0">
        <w:rPr>
          <w:rFonts w:eastAsiaTheme="minorEastAsia"/>
          <w:b/>
          <w:bCs/>
        </w:rPr>
        <w:t xml:space="preserve">HRVATSKA </w:t>
      </w:r>
      <w:r w:rsidRPr="008436F0">
        <w:rPr>
          <w:rFonts w:eastAsiaTheme="minorEastAsia"/>
          <w:b/>
          <w:bCs/>
          <w:spacing w:val="-14"/>
        </w:rPr>
        <w:t xml:space="preserve"> </w:t>
      </w:r>
    </w:p>
    <w:p w14:paraId="420032EF" w14:textId="77777777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spacing w:val="-2"/>
          <w:lang w:eastAsia="en-US"/>
        </w:rPr>
      </w:pPr>
      <w:r w:rsidRPr="008436F0">
        <w:rPr>
          <w:rFonts w:eastAsia="Arial"/>
          <w:b/>
          <w:bCs/>
          <w:spacing w:val="-14"/>
          <w:lang w:eastAsia="en-US"/>
        </w:rPr>
        <w:t xml:space="preserve">KOPRIVNIČKO-KRIŽEVAČKA </w:t>
      </w:r>
      <w:r w:rsidRPr="008436F0">
        <w:rPr>
          <w:rFonts w:eastAsia="Arial"/>
          <w:b/>
          <w:bCs/>
          <w:spacing w:val="-2"/>
          <w:lang w:eastAsia="en-US"/>
        </w:rPr>
        <w:t>ŽUPANIJA</w:t>
      </w:r>
    </w:p>
    <w:p w14:paraId="1CAEC54E" w14:textId="195F8889" w:rsidR="008436F0" w:rsidRPr="008436F0" w:rsidRDefault="008436F0" w:rsidP="008436F0">
      <w:pPr>
        <w:widowControl w:val="0"/>
        <w:autoSpaceDE w:val="0"/>
        <w:autoSpaceDN w:val="0"/>
        <w:spacing w:before="5"/>
        <w:ind w:left="118" w:right="4058" w:firstLine="24"/>
        <w:outlineLvl w:val="1"/>
        <w:rPr>
          <w:rFonts w:eastAsia="Arial"/>
          <w:b/>
          <w:bCs/>
          <w:lang w:eastAsia="en-US"/>
        </w:rPr>
      </w:pPr>
      <w:r w:rsidRPr="008436F0">
        <w:rPr>
          <w:rFonts w:eastAsia="Arial"/>
          <w:b/>
          <w:bCs/>
          <w:spacing w:val="-2"/>
          <w:lang w:eastAsia="en-US"/>
        </w:rPr>
        <w:t xml:space="preserve">               </w:t>
      </w:r>
      <w:r w:rsidR="00F36F9C">
        <w:rPr>
          <w:rFonts w:eastAsia="Arial"/>
          <w:b/>
          <w:bCs/>
          <w:spacing w:val="-2"/>
          <w:lang w:eastAsia="en-US"/>
        </w:rPr>
        <w:t xml:space="preserve">  </w:t>
      </w:r>
      <w:r w:rsidRPr="008436F0">
        <w:rPr>
          <w:rFonts w:eastAsia="Arial"/>
          <w:b/>
          <w:bCs/>
          <w:spacing w:val="-2"/>
          <w:lang w:eastAsia="en-US"/>
        </w:rPr>
        <w:t xml:space="preserve">  OPĆINA VIRJE</w:t>
      </w:r>
    </w:p>
    <w:p w14:paraId="77D409F0" w14:textId="41B0F17A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</w:rPr>
        <w:t xml:space="preserve">       </w:t>
      </w:r>
      <w:r w:rsidR="00F36F9C">
        <w:rPr>
          <w:rFonts w:eastAsiaTheme="minorEastAsia"/>
          <w:b/>
          <w:bCs/>
        </w:rPr>
        <w:t xml:space="preserve">   </w:t>
      </w:r>
      <w:r w:rsidRPr="008436F0">
        <w:rPr>
          <w:rFonts w:eastAsiaTheme="minorEastAsia"/>
          <w:b/>
          <w:bCs/>
        </w:rPr>
        <w:t xml:space="preserve">  Jedinstveni upravni odjel</w:t>
      </w:r>
    </w:p>
    <w:p w14:paraId="1C8E3CC4" w14:textId="74C93DDA" w:rsidR="008436F0" w:rsidRPr="00797FFA" w:rsidRDefault="008436F0" w:rsidP="008436F0">
      <w:pPr>
        <w:widowControl w:val="0"/>
        <w:autoSpaceDE w:val="0"/>
        <w:autoSpaceDN w:val="0"/>
        <w:spacing w:before="276"/>
        <w:ind w:left="118" w:right="6184"/>
        <w:outlineLvl w:val="1"/>
        <w:rPr>
          <w:rFonts w:eastAsia="Arial"/>
          <w:spacing w:val="-2"/>
          <w:lang w:eastAsia="en-US"/>
        </w:rPr>
      </w:pPr>
      <w:bookmarkStart w:id="1" w:name="_Hlk190676124"/>
      <w:r w:rsidRPr="00797FFA">
        <w:rPr>
          <w:rFonts w:eastAsia="Arial"/>
          <w:spacing w:val="-2"/>
          <w:lang w:eastAsia="en-US"/>
        </w:rPr>
        <w:t>KLASA: 011-0</w:t>
      </w:r>
      <w:r w:rsidR="00BC7225">
        <w:rPr>
          <w:rFonts w:eastAsia="Arial"/>
          <w:spacing w:val="-2"/>
          <w:lang w:eastAsia="en-US"/>
        </w:rPr>
        <w:t>2</w:t>
      </w:r>
      <w:r w:rsidRPr="00797FFA">
        <w:rPr>
          <w:rFonts w:eastAsia="Arial"/>
          <w:spacing w:val="-2"/>
          <w:lang w:eastAsia="en-US"/>
        </w:rPr>
        <w:t>/2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-01/</w:t>
      </w:r>
      <w:r w:rsidR="00932CDA">
        <w:rPr>
          <w:rFonts w:eastAsia="Arial"/>
          <w:spacing w:val="-2"/>
          <w:lang w:eastAsia="en-US"/>
        </w:rPr>
        <w:t>02</w:t>
      </w:r>
    </w:p>
    <w:p w14:paraId="17BDF95B" w14:textId="73EAF101" w:rsidR="008436F0" w:rsidRPr="00797FFA" w:rsidRDefault="008436F0" w:rsidP="008436F0">
      <w:pPr>
        <w:widowControl w:val="0"/>
        <w:autoSpaceDE w:val="0"/>
        <w:autoSpaceDN w:val="0"/>
        <w:ind w:left="118" w:right="5670"/>
        <w:outlineLvl w:val="1"/>
        <w:rPr>
          <w:rFonts w:eastAsia="Arial"/>
          <w:spacing w:val="-2"/>
          <w:lang w:eastAsia="en-US"/>
        </w:rPr>
      </w:pPr>
      <w:r w:rsidRPr="00797FFA">
        <w:rPr>
          <w:rFonts w:eastAsia="Arial"/>
          <w:spacing w:val="-2"/>
          <w:lang w:eastAsia="en-US"/>
        </w:rPr>
        <w:t>URBROJ: 2137-18-03/0</w:t>
      </w:r>
      <w:r w:rsidR="00A4103B">
        <w:rPr>
          <w:rFonts w:eastAsia="Arial"/>
          <w:spacing w:val="-2"/>
          <w:lang w:eastAsia="en-US"/>
        </w:rPr>
        <w:t>7</w:t>
      </w:r>
      <w:r w:rsidRPr="00797FFA">
        <w:rPr>
          <w:rFonts w:eastAsia="Arial"/>
          <w:spacing w:val="-2"/>
          <w:lang w:eastAsia="en-US"/>
        </w:rPr>
        <w:t>-2</w:t>
      </w:r>
      <w:r w:rsidR="00F874D0">
        <w:rPr>
          <w:rFonts w:eastAsia="Arial"/>
          <w:spacing w:val="-2"/>
          <w:lang w:eastAsia="en-US"/>
        </w:rPr>
        <w:t>6</w:t>
      </w:r>
      <w:r w:rsidRPr="00797FFA">
        <w:rPr>
          <w:rFonts w:eastAsia="Arial"/>
          <w:spacing w:val="-2"/>
          <w:lang w:eastAsia="en-US"/>
        </w:rPr>
        <w:t>-1</w:t>
      </w:r>
    </w:p>
    <w:bookmarkEnd w:id="1"/>
    <w:p w14:paraId="6E13DCD7" w14:textId="24EE27A0" w:rsidR="008436F0" w:rsidRPr="0076766C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  <w:color w:val="000000" w:themeColor="text1"/>
        </w:rPr>
      </w:pPr>
      <w:r w:rsidRPr="0076766C">
        <w:rPr>
          <w:rFonts w:eastAsiaTheme="minorEastAsia"/>
          <w:color w:val="000000" w:themeColor="text1"/>
        </w:rPr>
        <w:t>Virje,</w:t>
      </w:r>
      <w:r w:rsidRPr="0076766C">
        <w:rPr>
          <w:rFonts w:eastAsiaTheme="minorEastAsia"/>
          <w:color w:val="000000" w:themeColor="text1"/>
          <w:spacing w:val="-5"/>
        </w:rPr>
        <w:t xml:space="preserve"> </w:t>
      </w:r>
      <w:r w:rsidR="007B3B83" w:rsidRPr="0076766C">
        <w:rPr>
          <w:rFonts w:eastAsiaTheme="minorEastAsia"/>
          <w:color w:val="000000" w:themeColor="text1"/>
        </w:rPr>
        <w:t>2</w:t>
      </w:r>
      <w:r w:rsidR="00721F93">
        <w:rPr>
          <w:rFonts w:eastAsiaTheme="minorEastAsia"/>
          <w:color w:val="000000" w:themeColor="text1"/>
        </w:rPr>
        <w:t>3. veljače</w:t>
      </w:r>
      <w:r w:rsidR="00AD3FC4" w:rsidRPr="0076766C">
        <w:rPr>
          <w:rFonts w:eastAsiaTheme="minorEastAsia"/>
          <w:color w:val="000000" w:themeColor="text1"/>
        </w:rPr>
        <w:t xml:space="preserve"> </w:t>
      </w:r>
      <w:r w:rsidRPr="0076766C">
        <w:rPr>
          <w:rFonts w:eastAsiaTheme="minorEastAsia"/>
          <w:color w:val="000000" w:themeColor="text1"/>
        </w:rPr>
        <w:t>202</w:t>
      </w:r>
      <w:r w:rsidR="00F874D0">
        <w:rPr>
          <w:rFonts w:eastAsiaTheme="minorEastAsia"/>
          <w:color w:val="000000" w:themeColor="text1"/>
          <w:spacing w:val="-4"/>
        </w:rPr>
        <w:t>6</w:t>
      </w:r>
      <w:r w:rsidRPr="0076766C">
        <w:rPr>
          <w:rFonts w:eastAsiaTheme="minorEastAsia"/>
          <w:color w:val="000000" w:themeColor="text1"/>
          <w:spacing w:val="-4"/>
        </w:rPr>
        <w:t>.</w:t>
      </w:r>
    </w:p>
    <w:p w14:paraId="0B0C1A92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44"/>
        <w:rPr>
          <w:rFonts w:eastAsiaTheme="minorEastAsia"/>
        </w:rPr>
      </w:pPr>
    </w:p>
    <w:p w14:paraId="059E7DA2" w14:textId="69D02581" w:rsidR="00F874D0" w:rsidRPr="00F874D0" w:rsidRDefault="008436F0" w:rsidP="00F874D0">
      <w:pPr>
        <w:widowControl w:val="0"/>
        <w:autoSpaceDE w:val="0"/>
        <w:autoSpaceDN w:val="0"/>
        <w:spacing w:before="8"/>
        <w:rPr>
          <w:b/>
        </w:rPr>
      </w:pPr>
      <w:r w:rsidRPr="00F874D0">
        <w:rPr>
          <w:rFonts w:eastAsia="Arial"/>
          <w:b/>
          <w:bCs/>
          <w:lang w:eastAsia="en-US"/>
        </w:rPr>
        <w:t>PREDMET:</w:t>
      </w:r>
      <w:r w:rsidRPr="00F874D0">
        <w:rPr>
          <w:rFonts w:eastAsia="Arial"/>
          <w:b/>
          <w:bCs/>
          <w:spacing w:val="72"/>
          <w:w w:val="150"/>
          <w:lang w:eastAsia="en-US"/>
        </w:rPr>
        <w:t xml:space="preserve"> </w:t>
      </w:r>
      <w:r w:rsidR="00F874D0" w:rsidRPr="00F874D0">
        <w:rPr>
          <w:b/>
          <w:spacing w:val="-2"/>
        </w:rPr>
        <w:t>Odluk</w:t>
      </w:r>
      <w:r w:rsidR="00F874D0">
        <w:rPr>
          <w:b/>
          <w:spacing w:val="-2"/>
        </w:rPr>
        <w:t>a</w:t>
      </w:r>
      <w:r w:rsidR="00F874D0" w:rsidRPr="00F874D0">
        <w:rPr>
          <w:b/>
          <w:spacing w:val="-2"/>
        </w:rPr>
        <w:t xml:space="preserve"> </w:t>
      </w:r>
      <w:r w:rsidR="00F874D0" w:rsidRPr="00F874D0">
        <w:rPr>
          <w:b/>
          <w:spacing w:val="-6"/>
        </w:rPr>
        <w:t>o</w:t>
      </w:r>
      <w:r w:rsidR="00F874D0" w:rsidRPr="00F874D0">
        <w:rPr>
          <w:b/>
          <w:spacing w:val="-4"/>
        </w:rPr>
        <w:t xml:space="preserve"> </w:t>
      </w:r>
      <w:r w:rsidR="00721F93">
        <w:rPr>
          <w:b/>
          <w:spacing w:val="-4"/>
        </w:rPr>
        <w:t xml:space="preserve">grobljima na području </w:t>
      </w:r>
      <w:r w:rsidR="00F874D0" w:rsidRPr="00F874D0">
        <w:rPr>
          <w:b/>
          <w:spacing w:val="-4"/>
        </w:rPr>
        <w:t>Općine</w:t>
      </w:r>
      <w:r w:rsidR="00F874D0" w:rsidRPr="00F874D0">
        <w:rPr>
          <w:b/>
          <w:spacing w:val="-12"/>
        </w:rPr>
        <w:t xml:space="preserve"> </w:t>
      </w:r>
      <w:r w:rsidR="00F874D0" w:rsidRPr="00F874D0">
        <w:rPr>
          <w:b/>
          <w:spacing w:val="-4"/>
        </w:rPr>
        <w:t>Virje i</w:t>
      </w:r>
      <w:r w:rsidR="00F874D0">
        <w:rPr>
          <w:b/>
        </w:rPr>
        <w:t xml:space="preserve">  </w:t>
      </w:r>
      <w:r w:rsidR="00F874D0" w:rsidRPr="00F874D0">
        <w:rPr>
          <w:b/>
          <w:spacing w:val="-6"/>
        </w:rPr>
        <w:t>Odluk</w:t>
      </w:r>
      <w:r w:rsidR="00F874D0">
        <w:rPr>
          <w:b/>
          <w:spacing w:val="-6"/>
        </w:rPr>
        <w:t>a</w:t>
      </w:r>
      <w:r w:rsidR="00F874D0" w:rsidRPr="00F874D0">
        <w:rPr>
          <w:b/>
          <w:spacing w:val="-6"/>
        </w:rPr>
        <w:t xml:space="preserve"> o </w:t>
      </w:r>
      <w:r w:rsidR="00721F93">
        <w:rPr>
          <w:b/>
          <w:spacing w:val="-6"/>
        </w:rPr>
        <w:t xml:space="preserve">uvjetima i mjerilima za utvrđivanje naknada na grobljima na području </w:t>
      </w:r>
      <w:r w:rsidR="00F874D0" w:rsidRPr="00F874D0">
        <w:rPr>
          <w:b/>
        </w:rPr>
        <w:t>Općine Virje</w:t>
      </w:r>
    </w:p>
    <w:p w14:paraId="6A640D42" w14:textId="6C9A35BB" w:rsidR="008436F0" w:rsidRPr="008436F0" w:rsidRDefault="00F874D0" w:rsidP="008436F0">
      <w:pPr>
        <w:widowControl w:val="0"/>
        <w:autoSpaceDE w:val="0"/>
        <w:autoSpaceDN w:val="0"/>
        <w:ind w:left="118"/>
        <w:outlineLvl w:val="0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 xml:space="preserve"> </w:t>
      </w:r>
    </w:p>
    <w:p w14:paraId="1B5D7BFD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rPr>
          <w:rFonts w:eastAsiaTheme="minorEastAsia"/>
        </w:rPr>
      </w:pPr>
      <w:r w:rsidRPr="008436F0">
        <w:rPr>
          <w:rFonts w:eastAsiaTheme="minorEastAsia"/>
          <w:b/>
        </w:rPr>
        <w:t>-</w:t>
      </w:r>
      <w:r w:rsidRPr="008436F0">
        <w:rPr>
          <w:rFonts w:eastAsiaTheme="minorEastAsia"/>
          <w:b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za</w:t>
      </w:r>
      <w:r w:rsidRPr="008436F0">
        <w:rPr>
          <w:rFonts w:eastAsiaTheme="minorEastAsia"/>
          <w:spacing w:val="-8"/>
        </w:rPr>
        <w:t xml:space="preserve"> </w:t>
      </w:r>
      <w:r w:rsidRPr="008436F0">
        <w:rPr>
          <w:rFonts w:eastAsiaTheme="minorEastAsia"/>
        </w:rPr>
        <w:t>savjetovanje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s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  <w:spacing w:val="-2"/>
        </w:rPr>
        <w:t>javnošću</w:t>
      </w:r>
    </w:p>
    <w:p w14:paraId="6C6A58AC" w14:textId="77777777" w:rsidR="008436F0" w:rsidRPr="008436F0" w:rsidRDefault="008436F0" w:rsidP="008436F0">
      <w:pPr>
        <w:widowControl w:val="0"/>
        <w:autoSpaceDE w:val="0"/>
        <w:autoSpaceDN w:val="0"/>
        <w:adjustRightInd w:val="0"/>
        <w:spacing w:before="46"/>
        <w:ind w:left="144"/>
        <w:rPr>
          <w:rFonts w:eastAsiaTheme="minorEastAsia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</w:tblGrid>
      <w:tr w:rsidR="008436F0" w:rsidRPr="008436F0" w14:paraId="01A873D4" w14:textId="77777777" w:rsidTr="000A2514">
        <w:trPr>
          <w:trHeight w:val="714"/>
        </w:trPr>
        <w:tc>
          <w:tcPr>
            <w:tcW w:w="8927" w:type="dxa"/>
          </w:tcPr>
          <w:p w14:paraId="46D8AE6D" w14:textId="3EBF7613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r w:rsidRPr="008436F0">
              <w:rPr>
                <w:rFonts w:eastAsia="Arial"/>
                <w:b/>
                <w:lang w:eastAsia="en-US"/>
              </w:rPr>
              <w:t>Savjetovanje s</w:t>
            </w:r>
            <w:r w:rsidRPr="008436F0">
              <w:rPr>
                <w:rFonts w:eastAsia="Arial"/>
                <w:b/>
                <w:spacing w:val="40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 xml:space="preserve">javnošću bit će otvoreno od </w:t>
            </w:r>
            <w:r w:rsidR="00721F93">
              <w:rPr>
                <w:rFonts w:eastAsia="Arial"/>
                <w:b/>
                <w:lang w:eastAsia="en-US"/>
              </w:rPr>
              <w:t>2</w:t>
            </w:r>
            <w:r w:rsidR="00675E81">
              <w:rPr>
                <w:rFonts w:eastAsia="Arial"/>
                <w:b/>
                <w:lang w:eastAsia="en-US"/>
              </w:rPr>
              <w:t>3</w:t>
            </w:r>
            <w:r w:rsidRPr="008436F0">
              <w:rPr>
                <w:rFonts w:eastAsia="Arial"/>
                <w:b/>
                <w:lang w:eastAsia="en-US"/>
              </w:rPr>
              <w:t>.</w:t>
            </w:r>
            <w:r w:rsidR="00F874D0">
              <w:rPr>
                <w:rFonts w:eastAsia="Arial"/>
                <w:b/>
                <w:lang w:eastAsia="en-US"/>
              </w:rPr>
              <w:t xml:space="preserve"> </w:t>
            </w:r>
            <w:r w:rsidR="00721F93">
              <w:rPr>
                <w:rFonts w:eastAsia="Arial"/>
                <w:b/>
                <w:lang w:eastAsia="en-US"/>
              </w:rPr>
              <w:t>veljače</w:t>
            </w:r>
            <w:r w:rsidRPr="008436F0">
              <w:rPr>
                <w:rFonts w:eastAsia="Arial"/>
                <w:b/>
                <w:lang w:eastAsia="en-US"/>
              </w:rPr>
              <w:t xml:space="preserve"> 202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 xml:space="preserve">. godine do </w:t>
            </w:r>
            <w:r w:rsidR="00721F93">
              <w:rPr>
                <w:rFonts w:eastAsia="Arial"/>
                <w:b/>
                <w:lang w:eastAsia="en-US"/>
              </w:rPr>
              <w:t>2</w:t>
            </w:r>
            <w:r w:rsidR="00675E81">
              <w:rPr>
                <w:rFonts w:eastAsia="Arial"/>
                <w:b/>
                <w:lang w:eastAsia="en-US"/>
              </w:rPr>
              <w:t>5</w:t>
            </w:r>
            <w:r w:rsidRPr="008436F0">
              <w:rPr>
                <w:rFonts w:eastAsia="Arial"/>
                <w:b/>
                <w:lang w:eastAsia="en-US"/>
              </w:rPr>
              <w:t xml:space="preserve">. </w:t>
            </w:r>
            <w:r w:rsidR="00F36F9C">
              <w:rPr>
                <w:rFonts w:eastAsia="Arial"/>
                <w:b/>
                <w:lang w:eastAsia="en-US"/>
              </w:rPr>
              <w:t>o</w:t>
            </w:r>
            <w:r w:rsidR="00721F93">
              <w:rPr>
                <w:rFonts w:eastAsia="Arial"/>
                <w:b/>
                <w:lang w:eastAsia="en-US"/>
              </w:rPr>
              <w:t>žujka 2</w:t>
            </w:r>
            <w:r w:rsidRPr="008436F0">
              <w:rPr>
                <w:rFonts w:eastAsia="Arial"/>
                <w:b/>
                <w:lang w:eastAsia="en-US"/>
              </w:rPr>
              <w:t>02</w:t>
            </w:r>
            <w:r w:rsidR="00F874D0">
              <w:rPr>
                <w:rFonts w:eastAsia="Arial"/>
                <w:b/>
                <w:lang w:eastAsia="en-US"/>
              </w:rPr>
              <w:t>6</w:t>
            </w:r>
            <w:r w:rsidRPr="008436F0">
              <w:rPr>
                <w:rFonts w:eastAsia="Arial"/>
                <w:b/>
                <w:lang w:eastAsia="en-US"/>
              </w:rPr>
              <w:t>. godine.</w:t>
            </w:r>
          </w:p>
        </w:tc>
      </w:tr>
      <w:tr w:rsidR="008436F0" w:rsidRPr="008436F0" w14:paraId="4242E92F" w14:textId="77777777" w:rsidTr="000A2514">
        <w:trPr>
          <w:trHeight w:val="839"/>
        </w:trPr>
        <w:tc>
          <w:tcPr>
            <w:tcW w:w="8927" w:type="dxa"/>
          </w:tcPr>
          <w:p w14:paraId="36703288" w14:textId="77777777" w:rsidR="008436F0" w:rsidRPr="008436F0" w:rsidRDefault="008436F0" w:rsidP="008436F0">
            <w:pPr>
              <w:ind w:left="107"/>
              <w:rPr>
                <w:rFonts w:eastAsia="Arial"/>
                <w:lang w:eastAsia="en-US"/>
              </w:rPr>
            </w:pPr>
            <w:r w:rsidRPr="008436F0">
              <w:rPr>
                <w:rFonts w:eastAsia="Arial"/>
                <w:b/>
                <w:lang w:eastAsia="en-US"/>
              </w:rPr>
              <w:t>Adresa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e-pošte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na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koju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se</w:t>
            </w:r>
            <w:r w:rsidRPr="008436F0">
              <w:rPr>
                <w:rFonts w:eastAsia="Arial"/>
                <w:b/>
                <w:spacing w:val="-7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šalju</w:t>
            </w:r>
            <w:r w:rsidRPr="008436F0">
              <w:rPr>
                <w:rFonts w:eastAsia="Arial"/>
                <w:b/>
                <w:spacing w:val="-8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očitovanja</w:t>
            </w:r>
            <w:r w:rsidRPr="008436F0">
              <w:rPr>
                <w:rFonts w:eastAsia="Arial"/>
                <w:b/>
                <w:spacing w:val="-6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>zainteresirane</w:t>
            </w:r>
            <w:r w:rsidRPr="008436F0">
              <w:rPr>
                <w:rFonts w:eastAsia="Arial"/>
                <w:b/>
                <w:spacing w:val="-5"/>
                <w:lang w:eastAsia="en-US"/>
              </w:rPr>
              <w:t xml:space="preserve"> </w:t>
            </w:r>
            <w:r w:rsidRPr="008436F0">
              <w:rPr>
                <w:rFonts w:eastAsia="Arial"/>
                <w:b/>
                <w:lang w:eastAsia="en-US"/>
              </w:rPr>
              <w:t xml:space="preserve">javnosti: </w:t>
            </w:r>
          </w:p>
          <w:p w14:paraId="094F4CD3" w14:textId="77777777" w:rsidR="008436F0" w:rsidRPr="008436F0" w:rsidRDefault="008436F0" w:rsidP="008436F0">
            <w:pPr>
              <w:ind w:left="107"/>
              <w:rPr>
                <w:rFonts w:eastAsia="Arial"/>
                <w:b/>
                <w:lang w:eastAsia="en-US"/>
              </w:rPr>
            </w:pPr>
            <w:hyperlink r:id="rId7" w:history="1">
              <w:r w:rsidRPr="008436F0">
                <w:rPr>
                  <w:rFonts w:eastAsia="Arial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opcina@virje.hr</w:t>
              </w:r>
            </w:hyperlink>
            <w:r w:rsidRPr="008436F0">
              <w:rPr>
                <w:rFonts w:eastAsia="Arial"/>
                <w:lang w:eastAsia="en-US"/>
              </w:rPr>
              <w:t xml:space="preserve"> </w:t>
            </w:r>
          </w:p>
        </w:tc>
      </w:tr>
    </w:tbl>
    <w:p w14:paraId="1BF88233" w14:textId="77777777" w:rsidR="008436F0" w:rsidRPr="008436F0" w:rsidRDefault="008436F0" w:rsidP="008436F0">
      <w:pPr>
        <w:shd w:val="clear" w:color="auto" w:fill="FFFFFF"/>
        <w:spacing w:after="48"/>
        <w:jc w:val="center"/>
        <w:textAlignment w:val="baseline"/>
        <w:rPr>
          <w:b/>
          <w:bCs/>
          <w:sz w:val="22"/>
          <w:szCs w:val="22"/>
          <w:lang w:val="sk-SK" w:eastAsia="sk-SK"/>
        </w:rPr>
      </w:pPr>
      <w:r w:rsidRPr="008436F0">
        <w:rPr>
          <w:b/>
          <w:bCs/>
          <w:sz w:val="22"/>
          <w:szCs w:val="22"/>
          <w:lang w:val="sk-SK" w:eastAsia="sk-SK"/>
        </w:rPr>
        <w:t xml:space="preserve"> </w:t>
      </w:r>
    </w:p>
    <w:p w14:paraId="253D0CC9" w14:textId="77777777" w:rsidR="00F874D0" w:rsidRPr="00681174" w:rsidRDefault="00F874D0" w:rsidP="00F874D0">
      <w:pPr>
        <w:pStyle w:val="Tijeloteksta"/>
        <w:spacing w:before="26"/>
        <w:rPr>
          <w:rFonts w:ascii="Times New Roman" w:hAnsi="Times New Roman" w:cs="Times New Roman"/>
          <w:b/>
          <w:sz w:val="24"/>
          <w:szCs w:val="24"/>
        </w:rPr>
      </w:pPr>
    </w:p>
    <w:p w14:paraId="5BF45C10" w14:textId="0FEB5852" w:rsidR="00721F93" w:rsidRDefault="00721F93" w:rsidP="00F874D0">
      <w:pPr>
        <w:pStyle w:val="Tijeloteksta"/>
        <w:spacing w:before="13" w:line="247" w:lineRule="auto"/>
        <w:ind w:left="143"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Zakon o grobljima („Narodne novine“ broj 78/25. i 80/25) propis</w:t>
      </w:r>
      <w:r w:rsidR="00F36F9C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stroža pravila ponašanja, obveze korisnika i jedinica lokalne samouprave kao vlasnika groblja. </w:t>
      </w:r>
    </w:p>
    <w:p w14:paraId="76E85AC0" w14:textId="4C969C36" w:rsidR="00721F93" w:rsidRDefault="00F874D0" w:rsidP="00F874D0">
      <w:pPr>
        <w:pStyle w:val="Tijeloteksta"/>
        <w:spacing w:before="13" w:line="247" w:lineRule="auto"/>
        <w:ind w:left="143" w:right="415"/>
        <w:jc w:val="both"/>
        <w:rPr>
          <w:rFonts w:ascii="Times New Roman" w:hAnsi="Times New Roman" w:cs="Times New Roman"/>
          <w:sz w:val="24"/>
          <w:szCs w:val="24"/>
        </w:rPr>
      </w:pPr>
      <w:r w:rsidRPr="00681174">
        <w:rPr>
          <w:rFonts w:ascii="Times New Roman" w:hAnsi="Times New Roman" w:cs="Times New Roman"/>
          <w:sz w:val="24"/>
          <w:szCs w:val="24"/>
        </w:rPr>
        <w:t xml:space="preserve">Člankom </w:t>
      </w:r>
      <w:r w:rsidR="00721F93">
        <w:rPr>
          <w:rFonts w:ascii="Times New Roman" w:hAnsi="Times New Roman" w:cs="Times New Roman"/>
          <w:sz w:val="24"/>
          <w:szCs w:val="24"/>
        </w:rPr>
        <w:t>46. i 47. Zakona propisan je rok za usklađenje odluka jedinica lokalne samouprave poslovanja i upravljanja grobljima sa odredbama Zakona</w:t>
      </w:r>
      <w:r w:rsidR="00C52357">
        <w:rPr>
          <w:rFonts w:ascii="Times New Roman" w:hAnsi="Times New Roman" w:cs="Times New Roman"/>
          <w:sz w:val="24"/>
          <w:szCs w:val="24"/>
        </w:rPr>
        <w:t>, odnosno do 17.5.2026.</w:t>
      </w:r>
    </w:p>
    <w:p w14:paraId="5CD8BEAD" w14:textId="78888644" w:rsidR="002E4A3C" w:rsidRDefault="002E4A3C" w:rsidP="002E4A3C">
      <w:pPr>
        <w:pStyle w:val="Tijeloteksta"/>
        <w:spacing w:before="13" w:line="247" w:lineRule="auto"/>
        <w:ind w:left="143"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je Općine Virje kao jedinice lokalne samouprave koja u svojem vlasništvu i pod svojim upravljanjem ima 5 groblji (Virje, Šemovci, Hampovica, Rakitnica i Miholjanec) je da donese</w:t>
      </w:r>
    </w:p>
    <w:p w14:paraId="4BD2A7E1" w14:textId="422B1990" w:rsidR="00C52357" w:rsidRDefault="00C52357" w:rsidP="00C52357">
      <w:pPr>
        <w:pStyle w:val="Tijeloteksta"/>
        <w:numPr>
          <w:ilvl w:val="0"/>
          <w:numId w:val="5"/>
        </w:numPr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grobljima na području Općine Virje  a na temelju ove Odluke i </w:t>
      </w:r>
    </w:p>
    <w:p w14:paraId="14316B35" w14:textId="30D0BD5D" w:rsidR="00C52357" w:rsidRDefault="00C52357" w:rsidP="00C52357">
      <w:pPr>
        <w:pStyle w:val="Tijeloteksta"/>
        <w:numPr>
          <w:ilvl w:val="0"/>
          <w:numId w:val="5"/>
        </w:numPr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uvjetima i mjerilima za utvrđivanje naknda na grobljima na području Općine Virje.</w:t>
      </w:r>
    </w:p>
    <w:p w14:paraId="610EEB31" w14:textId="77777777" w:rsidR="00C52357" w:rsidRDefault="00C52357" w:rsidP="00C52357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</w:p>
    <w:p w14:paraId="3AA5EB30" w14:textId="2F318442" w:rsidR="002E4A3C" w:rsidRDefault="00C52357" w:rsidP="00C52357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odluke donosi predstavničko tijelo na temelju članka 46, odnosno 9. stavka 10. Zakona. </w:t>
      </w:r>
    </w:p>
    <w:p w14:paraId="750E1C3B" w14:textId="6D9F0384" w:rsidR="00F36F9C" w:rsidRDefault="00C52357" w:rsidP="00C52357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Odluke o grobljima na području Općine Virje sadrži odredbe propisane Zakonom kao i odredbe prilagođene dosadašnjem upravljanju grobljima</w:t>
      </w:r>
      <w:r w:rsidR="00513164">
        <w:rPr>
          <w:rFonts w:ascii="Times New Roman" w:hAnsi="Times New Roman" w:cs="Times New Roman"/>
          <w:sz w:val="24"/>
          <w:szCs w:val="24"/>
        </w:rPr>
        <w:t xml:space="preserve">. Novi Zakon pooštrava situacije kada se grobna naknada ne plaća više od 10 godina kao i druge jasnije odredbe o načinu ukopa, pravima i </w:t>
      </w:r>
      <w:r w:rsidR="00F36F9C">
        <w:rPr>
          <w:rFonts w:ascii="Times New Roman" w:hAnsi="Times New Roman" w:cs="Times New Roman"/>
          <w:sz w:val="24"/>
          <w:szCs w:val="24"/>
        </w:rPr>
        <w:t xml:space="preserve">obvezama korisnika i upravitelja. </w:t>
      </w:r>
    </w:p>
    <w:p w14:paraId="03EDD4C0" w14:textId="07E951B7" w:rsidR="002E4A3C" w:rsidRDefault="00F36F9C" w:rsidP="00C52357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52357">
        <w:rPr>
          <w:rFonts w:ascii="Times New Roman" w:hAnsi="Times New Roman" w:cs="Times New Roman"/>
          <w:sz w:val="24"/>
          <w:szCs w:val="24"/>
        </w:rPr>
        <w:t xml:space="preserve">ažećom </w:t>
      </w:r>
      <w:r w:rsidR="00721F93">
        <w:rPr>
          <w:rFonts w:ascii="Times New Roman" w:hAnsi="Times New Roman" w:cs="Times New Roman"/>
          <w:sz w:val="24"/>
          <w:szCs w:val="24"/>
        </w:rPr>
        <w:t xml:space="preserve"> Odluk</w:t>
      </w:r>
      <w:r w:rsidR="00C52357">
        <w:rPr>
          <w:rFonts w:ascii="Times New Roman" w:hAnsi="Times New Roman" w:cs="Times New Roman"/>
          <w:sz w:val="24"/>
          <w:szCs w:val="24"/>
        </w:rPr>
        <w:t>om</w:t>
      </w:r>
      <w:r w:rsidR="00721F93">
        <w:rPr>
          <w:rFonts w:ascii="Times New Roman" w:hAnsi="Times New Roman" w:cs="Times New Roman"/>
          <w:sz w:val="24"/>
          <w:szCs w:val="24"/>
        </w:rPr>
        <w:t xml:space="preserve"> </w:t>
      </w:r>
      <w:r w:rsidR="002E4A3C">
        <w:rPr>
          <w:rFonts w:ascii="Times New Roman" w:hAnsi="Times New Roman" w:cs="Times New Roman"/>
          <w:sz w:val="24"/>
          <w:szCs w:val="24"/>
        </w:rPr>
        <w:t>o utvrđivanju cijena usluga na grobljima na području Općine Virje (KLASA: 363-02/24-01/05, URBROJ: 217-18-02/1-24-1 od 16. rujna 2024. godine su propisane naknade koje se propisuju i novim Zakonom. U odnosu na važeće iznose</w:t>
      </w:r>
      <w:r w:rsidR="00513164">
        <w:rPr>
          <w:rFonts w:ascii="Times New Roman" w:hAnsi="Times New Roman" w:cs="Times New Roman"/>
          <w:sz w:val="24"/>
          <w:szCs w:val="24"/>
        </w:rPr>
        <w:t xml:space="preserve"> koji vrijede više od 15 godina</w:t>
      </w:r>
      <w:r w:rsidR="002E4A3C">
        <w:rPr>
          <w:rFonts w:ascii="Times New Roman" w:hAnsi="Times New Roman" w:cs="Times New Roman"/>
          <w:sz w:val="24"/>
          <w:szCs w:val="24"/>
        </w:rPr>
        <w:t>, predlaž</w:t>
      </w:r>
      <w:r w:rsidR="00513164">
        <w:rPr>
          <w:rFonts w:ascii="Times New Roman" w:hAnsi="Times New Roman" w:cs="Times New Roman"/>
          <w:sz w:val="24"/>
          <w:szCs w:val="24"/>
        </w:rPr>
        <w:t>u se izmijenjene naknade</w:t>
      </w:r>
      <w:r w:rsidR="002E4A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150C2" w14:textId="77777777" w:rsidR="002E4A3C" w:rsidRDefault="002E4A3C" w:rsidP="00F36F9C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dodjelu grobnog mjesta umjesto dosadašnjih 39,82 eura za jednostruko grobno </w:t>
      </w:r>
      <w:r>
        <w:rPr>
          <w:rFonts w:ascii="Times New Roman" w:hAnsi="Times New Roman" w:cs="Times New Roman"/>
          <w:sz w:val="24"/>
          <w:szCs w:val="24"/>
        </w:rPr>
        <w:lastRenderedPageBreak/>
        <w:t>mjesto iznosila bi 100,00 eura i umjesto 66,36 eura za dva grobna mjesta iznosila bi 200,00 eura. Dosadašnja naknada za grobno mjesto s kapelicom u iznosu 92,91 eura bi se ukinula.</w:t>
      </w:r>
    </w:p>
    <w:p w14:paraId="35C10056" w14:textId="64A56854" w:rsidR="002E4A3C" w:rsidRDefault="002E4A3C" w:rsidP="00F36F9C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grobna naknada umjesto dosadašnjih 6,64 eura iznosila bi 20,00 eura</w:t>
      </w:r>
      <w:r w:rsidR="00513164">
        <w:rPr>
          <w:rFonts w:ascii="Times New Roman" w:hAnsi="Times New Roman" w:cs="Times New Roman"/>
          <w:sz w:val="24"/>
          <w:szCs w:val="24"/>
        </w:rPr>
        <w:t xml:space="preserve"> a pokriva troškove održavanja groblja i upravlje grobljima.</w:t>
      </w:r>
    </w:p>
    <w:p w14:paraId="2B2C5FF0" w14:textId="10FAE7F8" w:rsidR="002E4A3C" w:rsidRDefault="002E4A3C" w:rsidP="00F36F9C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izdavanje suglasnosti za izvođenje radova iznosila bi umjesto dosadašnjih 13,27 i 19,91 i 39,82 eura ovisno o vrsti grobnog mjesta i radova, za sve istih 15,00 eura</w:t>
      </w:r>
      <w:r w:rsidR="00513164">
        <w:rPr>
          <w:rFonts w:ascii="Times New Roman" w:hAnsi="Times New Roman" w:cs="Times New Roman"/>
          <w:sz w:val="24"/>
          <w:szCs w:val="24"/>
        </w:rPr>
        <w:t xml:space="preserve"> a pokriva troškove izdavanja suglasnosti i uvjeta gradnje.</w:t>
      </w:r>
    </w:p>
    <w:p w14:paraId="3A32F81A" w14:textId="7A79C9CE" w:rsidR="002E4A3C" w:rsidRDefault="002E4A3C" w:rsidP="00F36F9C">
      <w:pPr>
        <w:pStyle w:val="Tijeloteksta"/>
        <w:spacing w:before="13" w:line="247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izvođenje radova koju plaća izvođač radova iznosila bi 30,00 eura </w:t>
      </w:r>
      <w:r w:rsidR="005131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pokrivala bi troškove električne energije, korištenja prilaznih puteva, odlaganja materijala i odvoz otpada. </w:t>
      </w:r>
    </w:p>
    <w:p w14:paraId="294D3456" w14:textId="77777777" w:rsidR="00513164" w:rsidRDefault="00513164" w:rsidP="00F36F9C">
      <w:pPr>
        <w:ind w:right="363"/>
        <w:jc w:val="both"/>
        <w:rPr>
          <w:bCs/>
        </w:rPr>
      </w:pPr>
    </w:p>
    <w:p w14:paraId="1A21D819" w14:textId="3B8F2922" w:rsidR="00513164" w:rsidRDefault="00513164" w:rsidP="00F36F9C">
      <w:pPr>
        <w:ind w:right="363"/>
        <w:jc w:val="both"/>
        <w:rPr>
          <w:bCs/>
        </w:rPr>
      </w:pPr>
      <w:r>
        <w:rPr>
          <w:bCs/>
        </w:rPr>
        <w:t>Ostale obveze propisane Zakonom uvedene su prethodno a ažuriraju se prema potrebi (vođenje očevidnika, tražilica kao lako dostupan preglednik, pravila ponašanja i slično).</w:t>
      </w:r>
    </w:p>
    <w:p w14:paraId="5981E623" w14:textId="18F07D0F" w:rsidR="008436F0" w:rsidRPr="008436F0" w:rsidRDefault="003A735F" w:rsidP="00F36F9C">
      <w:pPr>
        <w:shd w:val="clear" w:color="auto" w:fill="FFFFFF"/>
        <w:spacing w:after="48" w:line="259" w:lineRule="auto"/>
        <w:jc w:val="both"/>
        <w:textAlignment w:val="baseline"/>
        <w:rPr>
          <w:rFonts w:eastAsiaTheme="minorHAnsi" w:cstheme="minorBidi"/>
          <w:b/>
          <w:bCs/>
          <w:color w:val="231F20"/>
          <w:sz w:val="22"/>
          <w:szCs w:val="22"/>
          <w:lang w:val="sk-SK" w:eastAsia="sk-SK"/>
        </w:rPr>
      </w:pPr>
      <w:r w:rsidRPr="003A735F">
        <w:rPr>
          <w:rFonts w:eastAsiaTheme="minorEastAsia"/>
          <w:sz w:val="22"/>
          <w:szCs w:val="22"/>
          <w:lang w:val="sk-SK"/>
        </w:rPr>
        <w:t xml:space="preserve"> </w:t>
      </w:r>
    </w:p>
    <w:p w14:paraId="67752E3D" w14:textId="67404EC9" w:rsidR="008436F0" w:rsidRPr="008436F0" w:rsidRDefault="008436F0" w:rsidP="00F36F9C">
      <w:pPr>
        <w:widowControl w:val="0"/>
        <w:autoSpaceDE w:val="0"/>
        <w:autoSpaceDN w:val="0"/>
        <w:adjustRightInd w:val="0"/>
        <w:ind w:right="238"/>
        <w:jc w:val="both"/>
        <w:rPr>
          <w:rFonts w:eastAsiaTheme="minorEastAsia"/>
        </w:rPr>
      </w:pPr>
      <w:r w:rsidRPr="008436F0">
        <w:rPr>
          <w:rFonts w:eastAsiaTheme="minorEastAsia"/>
          <w:sz w:val="22"/>
          <w:szCs w:val="22"/>
        </w:rPr>
        <w:t>Za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provođenje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ov</w:t>
      </w:r>
      <w:r w:rsidR="00513164">
        <w:rPr>
          <w:rFonts w:eastAsiaTheme="minorEastAsia"/>
          <w:sz w:val="22"/>
          <w:szCs w:val="22"/>
        </w:rPr>
        <w:t>ih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Odluke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nije</w:t>
      </w:r>
      <w:r w:rsidRPr="008436F0">
        <w:rPr>
          <w:rFonts w:eastAsiaTheme="minorEastAsia"/>
          <w:spacing w:val="-5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potrebno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osigurati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sredstva</w:t>
      </w:r>
      <w:r w:rsidRPr="008436F0">
        <w:rPr>
          <w:rFonts w:eastAsiaTheme="minorEastAsia"/>
          <w:spacing w:val="-3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u</w:t>
      </w:r>
      <w:r w:rsidRPr="008436F0">
        <w:rPr>
          <w:rFonts w:eastAsiaTheme="minorEastAsia"/>
          <w:spacing w:val="-4"/>
          <w:sz w:val="22"/>
          <w:szCs w:val="22"/>
        </w:rPr>
        <w:t xml:space="preserve"> </w:t>
      </w:r>
      <w:r w:rsidRPr="008436F0">
        <w:rPr>
          <w:rFonts w:eastAsiaTheme="minorEastAsia"/>
          <w:sz w:val="22"/>
          <w:szCs w:val="22"/>
        </w:rPr>
        <w:t>Proračunu</w:t>
      </w:r>
      <w:r w:rsidRPr="008436F0">
        <w:rPr>
          <w:rFonts w:eastAsiaTheme="minorEastAsia"/>
          <w:spacing w:val="-5"/>
          <w:sz w:val="22"/>
          <w:szCs w:val="22"/>
        </w:rPr>
        <w:t xml:space="preserve"> Općine Virje</w:t>
      </w:r>
      <w:r w:rsidRPr="008436F0">
        <w:rPr>
          <w:rFonts w:eastAsiaTheme="minorEastAsia"/>
          <w:sz w:val="22"/>
          <w:szCs w:val="22"/>
        </w:rPr>
        <w:t xml:space="preserve"> za</w:t>
      </w:r>
      <w:r w:rsidRPr="008436F0">
        <w:rPr>
          <w:rFonts w:eastAsiaTheme="minorEastAsia"/>
        </w:rPr>
        <w:t xml:space="preserve"> 202</w:t>
      </w:r>
      <w:r w:rsidR="00F874D0">
        <w:rPr>
          <w:rFonts w:eastAsiaTheme="minorEastAsia"/>
        </w:rPr>
        <w:t>6</w:t>
      </w:r>
      <w:r w:rsidRPr="008436F0">
        <w:rPr>
          <w:rFonts w:eastAsiaTheme="minorEastAsia"/>
        </w:rPr>
        <w:t>. godinu</w:t>
      </w:r>
    </w:p>
    <w:p w14:paraId="12466B26" w14:textId="77777777" w:rsidR="003A735F" w:rsidRDefault="003A735F" w:rsidP="00F36F9C">
      <w:pPr>
        <w:spacing w:after="160" w:line="259" w:lineRule="auto"/>
        <w:ind w:right="109"/>
        <w:jc w:val="both"/>
        <w:rPr>
          <w:rFonts w:eastAsiaTheme="minorHAnsi"/>
          <w:b/>
          <w:lang w:eastAsia="en-US"/>
        </w:rPr>
      </w:pPr>
    </w:p>
    <w:p w14:paraId="4A3E816D" w14:textId="4A35535C" w:rsidR="008436F0" w:rsidRPr="008436F0" w:rsidRDefault="008436F0" w:rsidP="00F36F9C">
      <w:pPr>
        <w:spacing w:after="160" w:line="259" w:lineRule="auto"/>
        <w:ind w:right="109"/>
        <w:jc w:val="both"/>
        <w:rPr>
          <w:rFonts w:eastAsiaTheme="minorHAnsi"/>
          <w:lang w:eastAsia="en-US"/>
        </w:rPr>
      </w:pPr>
      <w:r w:rsidRPr="00F874D0">
        <w:rPr>
          <w:rFonts w:eastAsiaTheme="minorHAnsi"/>
          <w:bCs/>
          <w:lang w:eastAsia="en-US"/>
        </w:rPr>
        <w:t>Prijedlog Odluk</w:t>
      </w:r>
      <w:r w:rsidR="00F874D0" w:rsidRPr="00F874D0">
        <w:rPr>
          <w:rFonts w:eastAsiaTheme="minorHAnsi"/>
          <w:bCs/>
          <w:lang w:eastAsia="en-US"/>
        </w:rPr>
        <w:t>a</w:t>
      </w:r>
      <w:r w:rsidRPr="00F874D0">
        <w:rPr>
          <w:rFonts w:eastAsiaTheme="minorHAnsi"/>
          <w:bCs/>
          <w:lang w:eastAsia="en-US"/>
        </w:rPr>
        <w:t xml:space="preserve"> upućuje se na javno savjetovanje</w:t>
      </w:r>
      <w:r w:rsidRPr="00F874D0">
        <w:rPr>
          <w:rFonts w:eastAsiaTheme="minorHAnsi"/>
          <w:bCs/>
          <w:spacing w:val="40"/>
          <w:lang w:eastAsia="en-US"/>
        </w:rPr>
        <w:t xml:space="preserve"> </w:t>
      </w:r>
      <w:r w:rsidRPr="00F874D0">
        <w:rPr>
          <w:rFonts w:eastAsiaTheme="minorHAnsi"/>
          <w:bCs/>
          <w:lang w:eastAsia="en-US"/>
        </w:rPr>
        <w:t>u trajanju od 30 dana, te</w:t>
      </w:r>
      <w:r w:rsidRPr="008436F0">
        <w:rPr>
          <w:rFonts w:eastAsiaTheme="minorHAnsi"/>
          <w:lang w:eastAsia="en-US"/>
        </w:rPr>
        <w:t xml:space="preserve"> će se nakon provedenog savjetovanja predložiti na usvajanje Općinskom vijeću.</w:t>
      </w:r>
    </w:p>
    <w:p w14:paraId="5AF7FCB3" w14:textId="77777777" w:rsidR="008436F0" w:rsidRPr="008436F0" w:rsidRDefault="008436F0" w:rsidP="00F36F9C">
      <w:pPr>
        <w:widowControl w:val="0"/>
        <w:autoSpaceDE w:val="0"/>
        <w:autoSpaceDN w:val="0"/>
        <w:adjustRightInd w:val="0"/>
        <w:ind w:right="107"/>
        <w:jc w:val="both"/>
        <w:rPr>
          <w:rFonts w:eastAsiaTheme="minorEastAsia"/>
        </w:rPr>
      </w:pPr>
      <w:r w:rsidRPr="008436F0">
        <w:rPr>
          <w:rFonts w:eastAsiaTheme="minorEastAsia"/>
        </w:rPr>
        <w:t>Prijedlozi i mišljenja o Nacrtu prijedloga mogu se izraziti putem Obrasca e-sudjelovanje</w:t>
      </w:r>
      <w:r w:rsidRPr="008436F0">
        <w:rPr>
          <w:rFonts w:eastAsiaTheme="minorEastAsia"/>
          <w:spacing w:val="40"/>
        </w:rPr>
        <w:t xml:space="preserve"> </w:t>
      </w:r>
      <w:r w:rsidRPr="008436F0">
        <w:rPr>
          <w:rFonts w:eastAsiaTheme="minorEastAsia"/>
        </w:rPr>
        <w:t>koji se dostavlja u privitku.</w:t>
      </w:r>
    </w:p>
    <w:p w14:paraId="76A65184" w14:textId="77777777" w:rsidR="008436F0" w:rsidRPr="008436F0" w:rsidRDefault="008436F0" w:rsidP="00F36F9C">
      <w:pPr>
        <w:widowControl w:val="0"/>
        <w:autoSpaceDE w:val="0"/>
        <w:autoSpaceDN w:val="0"/>
        <w:adjustRightInd w:val="0"/>
        <w:ind w:right="107"/>
        <w:jc w:val="both"/>
        <w:rPr>
          <w:rFonts w:eastAsiaTheme="minorEastAsia"/>
        </w:rPr>
      </w:pPr>
    </w:p>
    <w:p w14:paraId="659223C5" w14:textId="4F9FE635" w:rsidR="008436F0" w:rsidRPr="008436F0" w:rsidRDefault="00F36F9C" w:rsidP="00F36F9C">
      <w:pPr>
        <w:widowControl w:val="0"/>
        <w:autoSpaceDE w:val="0"/>
        <w:autoSpaceDN w:val="0"/>
        <w:ind w:right="107" w:firstLine="720"/>
        <w:jc w:val="center"/>
        <w:outlineLvl w:val="1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spacing w:val="-2"/>
          <w:lang w:eastAsia="en-US"/>
        </w:rPr>
        <w:t xml:space="preserve">                                                             </w:t>
      </w:r>
      <w:r w:rsidR="003A735F">
        <w:rPr>
          <w:rFonts w:eastAsia="Arial"/>
          <w:b/>
          <w:bCs/>
          <w:spacing w:val="-2"/>
          <w:lang w:eastAsia="en-US"/>
        </w:rPr>
        <w:t>Viša referentica za opće poslove</w:t>
      </w:r>
      <w:r w:rsidR="008436F0" w:rsidRPr="008436F0">
        <w:rPr>
          <w:rFonts w:eastAsia="Arial"/>
          <w:b/>
          <w:bCs/>
          <w:spacing w:val="-2"/>
          <w:lang w:eastAsia="en-US"/>
        </w:rPr>
        <w:t>:</w:t>
      </w:r>
    </w:p>
    <w:p w14:paraId="32732F48" w14:textId="44B87440" w:rsidR="008436F0" w:rsidRPr="008436F0" w:rsidRDefault="008436F0" w:rsidP="008436F0">
      <w:pPr>
        <w:widowControl w:val="0"/>
        <w:autoSpaceDE w:val="0"/>
        <w:autoSpaceDN w:val="0"/>
        <w:adjustRightInd w:val="0"/>
        <w:ind w:left="144" w:right="106"/>
        <w:jc w:val="center"/>
        <w:rPr>
          <w:rFonts w:eastAsiaTheme="minorEastAsia"/>
          <w:b/>
          <w:bCs/>
        </w:rPr>
      </w:pPr>
      <w:r w:rsidRPr="008436F0">
        <w:rPr>
          <w:rFonts w:eastAsiaTheme="minorEastAsia"/>
          <w:b/>
          <w:bCs/>
          <w:spacing w:val="-2"/>
        </w:rPr>
        <w:t xml:space="preserve">                                                                          </w:t>
      </w:r>
      <w:r w:rsidR="0076766C">
        <w:rPr>
          <w:rFonts w:eastAsiaTheme="minorEastAsia"/>
          <w:b/>
          <w:bCs/>
          <w:spacing w:val="-2"/>
        </w:rPr>
        <w:t xml:space="preserve">    </w:t>
      </w:r>
      <w:r w:rsidR="007B3B83">
        <w:rPr>
          <w:rFonts w:eastAsiaTheme="minorEastAsia"/>
          <w:b/>
          <w:bCs/>
          <w:spacing w:val="-2"/>
        </w:rPr>
        <w:t xml:space="preserve"> </w:t>
      </w:r>
      <w:r w:rsidR="003A735F">
        <w:rPr>
          <w:rFonts w:eastAsiaTheme="minorEastAsia"/>
          <w:b/>
          <w:bCs/>
          <w:spacing w:val="-2"/>
        </w:rPr>
        <w:t xml:space="preserve">Iva Fancev </w:t>
      </w:r>
    </w:p>
    <w:p w14:paraId="07E9BA85" w14:textId="77777777" w:rsidR="008436F0" w:rsidRPr="008436F0" w:rsidRDefault="008436F0" w:rsidP="008436F0">
      <w:pPr>
        <w:widowControl w:val="0"/>
        <w:autoSpaceDE w:val="0"/>
        <w:autoSpaceDN w:val="0"/>
        <w:adjustRightInd w:val="0"/>
        <w:ind w:left="118"/>
        <w:jc w:val="both"/>
        <w:rPr>
          <w:rFonts w:eastAsiaTheme="minorEastAsia"/>
        </w:rPr>
      </w:pPr>
      <w:r w:rsidRPr="008436F0">
        <w:rPr>
          <w:rFonts w:eastAsiaTheme="minorEastAsia"/>
        </w:rPr>
        <w:t>U</w:t>
      </w:r>
      <w:r w:rsidRPr="008436F0">
        <w:rPr>
          <w:rFonts w:eastAsiaTheme="minorEastAsia"/>
          <w:spacing w:val="-2"/>
        </w:rPr>
        <w:t xml:space="preserve"> privitku:</w:t>
      </w:r>
    </w:p>
    <w:p w14:paraId="2CA5403B" w14:textId="782691FB" w:rsidR="008436F0" w:rsidRDefault="008436F0" w:rsidP="008436F0">
      <w:pPr>
        <w:widowControl w:val="0"/>
        <w:autoSpaceDE w:val="0"/>
        <w:autoSpaceDN w:val="0"/>
        <w:adjustRightInd w:val="0"/>
        <w:spacing w:before="1"/>
        <w:ind w:left="118"/>
        <w:jc w:val="both"/>
        <w:rPr>
          <w:rFonts w:eastAsiaTheme="minorEastAsia"/>
          <w:spacing w:val="-2"/>
        </w:rPr>
      </w:pPr>
      <w:r w:rsidRPr="008436F0">
        <w:rPr>
          <w:rFonts w:eastAsiaTheme="minorEastAsia"/>
        </w:rPr>
        <w:t>-</w:t>
      </w:r>
      <w:r w:rsidRPr="008436F0">
        <w:rPr>
          <w:rFonts w:eastAsiaTheme="minorEastAsia"/>
          <w:spacing w:val="-10"/>
        </w:rPr>
        <w:t xml:space="preserve"> </w:t>
      </w:r>
      <w:r w:rsidRPr="008436F0">
        <w:rPr>
          <w:rFonts w:eastAsiaTheme="minorEastAsia"/>
        </w:rPr>
        <w:t>Nacrt</w:t>
      </w:r>
      <w:r w:rsidRPr="008436F0">
        <w:rPr>
          <w:rFonts w:eastAsiaTheme="minorEastAsia"/>
          <w:spacing w:val="-9"/>
        </w:rPr>
        <w:t xml:space="preserve"> </w:t>
      </w:r>
      <w:r w:rsidRPr="008436F0">
        <w:rPr>
          <w:rFonts w:eastAsiaTheme="minorEastAsia"/>
        </w:rPr>
        <w:t>prijedloga</w:t>
      </w:r>
      <w:r w:rsidRPr="008436F0">
        <w:rPr>
          <w:rFonts w:eastAsiaTheme="minorEastAsia"/>
          <w:spacing w:val="-7"/>
        </w:rPr>
        <w:t xml:space="preserve"> </w:t>
      </w:r>
      <w:r w:rsidRPr="008436F0">
        <w:rPr>
          <w:rFonts w:eastAsiaTheme="minorEastAsia"/>
          <w:spacing w:val="-2"/>
        </w:rPr>
        <w:t>Odluk</w:t>
      </w:r>
      <w:r w:rsidR="00F874D0">
        <w:rPr>
          <w:rFonts w:eastAsiaTheme="minorEastAsia"/>
          <w:spacing w:val="-2"/>
        </w:rPr>
        <w:t>a</w:t>
      </w:r>
    </w:p>
    <w:bookmarkEnd w:id="0"/>
    <w:p w14:paraId="6429E9A6" w14:textId="32C3BFB9" w:rsidR="00AD3FC4" w:rsidRPr="008436F0" w:rsidRDefault="00AD3FC4" w:rsidP="00F874D0">
      <w:pPr>
        <w:spacing w:after="160" w:line="259" w:lineRule="auto"/>
        <w:rPr>
          <w:rFonts w:eastAsiaTheme="minorEastAsia"/>
        </w:rPr>
      </w:pPr>
    </w:p>
    <w:sectPr w:rsidR="00AD3FC4" w:rsidRPr="0084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059"/>
    <w:multiLevelType w:val="hybridMultilevel"/>
    <w:tmpl w:val="6D001B6C"/>
    <w:lvl w:ilvl="0" w:tplc="B47A2B3E">
      <w:numFmt w:val="bullet"/>
      <w:lvlText w:val="-"/>
      <w:lvlJc w:val="left"/>
      <w:pPr>
        <w:ind w:left="503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" w15:restartNumberingAfterBreak="0">
    <w:nsid w:val="3C361AE6"/>
    <w:multiLevelType w:val="hybridMultilevel"/>
    <w:tmpl w:val="BEF20356"/>
    <w:lvl w:ilvl="0" w:tplc="9C82C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AEC"/>
    <w:multiLevelType w:val="hybridMultilevel"/>
    <w:tmpl w:val="84AAE168"/>
    <w:lvl w:ilvl="0" w:tplc="9E7A5F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D1FDE"/>
    <w:multiLevelType w:val="hybridMultilevel"/>
    <w:tmpl w:val="8AB00C8C"/>
    <w:lvl w:ilvl="0" w:tplc="9EEEC2A0">
      <w:numFmt w:val="bullet"/>
      <w:lvlText w:val="-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030C1E00">
      <w:numFmt w:val="bullet"/>
      <w:lvlText w:val="•"/>
      <w:lvlJc w:val="left"/>
      <w:pPr>
        <w:ind w:left="2043" w:hanging="360"/>
      </w:pPr>
      <w:rPr>
        <w:rFonts w:hint="default"/>
        <w:lang w:val="bs" w:eastAsia="en-US" w:bidi="ar-SA"/>
      </w:rPr>
    </w:lvl>
    <w:lvl w:ilvl="2" w:tplc="45E84E0E">
      <w:numFmt w:val="bullet"/>
      <w:lvlText w:val="•"/>
      <w:lvlJc w:val="left"/>
      <w:pPr>
        <w:ind w:left="2887" w:hanging="360"/>
      </w:pPr>
      <w:rPr>
        <w:rFonts w:hint="default"/>
        <w:lang w:val="bs" w:eastAsia="en-US" w:bidi="ar-SA"/>
      </w:rPr>
    </w:lvl>
    <w:lvl w:ilvl="3" w:tplc="F084949A">
      <w:numFmt w:val="bullet"/>
      <w:lvlText w:val="•"/>
      <w:lvlJc w:val="left"/>
      <w:pPr>
        <w:ind w:left="3731" w:hanging="360"/>
      </w:pPr>
      <w:rPr>
        <w:rFonts w:hint="default"/>
        <w:lang w:val="bs" w:eastAsia="en-US" w:bidi="ar-SA"/>
      </w:rPr>
    </w:lvl>
    <w:lvl w:ilvl="4" w:tplc="437E8694">
      <w:numFmt w:val="bullet"/>
      <w:lvlText w:val="•"/>
      <w:lvlJc w:val="left"/>
      <w:pPr>
        <w:ind w:left="4575" w:hanging="360"/>
      </w:pPr>
      <w:rPr>
        <w:rFonts w:hint="default"/>
        <w:lang w:val="bs" w:eastAsia="en-US" w:bidi="ar-SA"/>
      </w:rPr>
    </w:lvl>
    <w:lvl w:ilvl="5" w:tplc="3BBAB4B8">
      <w:numFmt w:val="bullet"/>
      <w:lvlText w:val="•"/>
      <w:lvlJc w:val="left"/>
      <w:pPr>
        <w:ind w:left="5419" w:hanging="360"/>
      </w:pPr>
      <w:rPr>
        <w:rFonts w:hint="default"/>
        <w:lang w:val="bs" w:eastAsia="en-US" w:bidi="ar-SA"/>
      </w:rPr>
    </w:lvl>
    <w:lvl w:ilvl="6" w:tplc="98462168">
      <w:numFmt w:val="bullet"/>
      <w:lvlText w:val="•"/>
      <w:lvlJc w:val="left"/>
      <w:pPr>
        <w:ind w:left="6263" w:hanging="360"/>
      </w:pPr>
      <w:rPr>
        <w:rFonts w:hint="default"/>
        <w:lang w:val="bs" w:eastAsia="en-US" w:bidi="ar-SA"/>
      </w:rPr>
    </w:lvl>
    <w:lvl w:ilvl="7" w:tplc="D67A86B4">
      <w:numFmt w:val="bullet"/>
      <w:lvlText w:val="•"/>
      <w:lvlJc w:val="left"/>
      <w:pPr>
        <w:ind w:left="7107" w:hanging="360"/>
      </w:pPr>
      <w:rPr>
        <w:rFonts w:hint="default"/>
        <w:lang w:val="bs" w:eastAsia="en-US" w:bidi="ar-SA"/>
      </w:rPr>
    </w:lvl>
    <w:lvl w:ilvl="8" w:tplc="2722CB5C">
      <w:numFmt w:val="bullet"/>
      <w:lvlText w:val="•"/>
      <w:lvlJc w:val="left"/>
      <w:pPr>
        <w:ind w:left="7951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50C0244A"/>
    <w:multiLevelType w:val="hybridMultilevel"/>
    <w:tmpl w:val="F4CCBB64"/>
    <w:lvl w:ilvl="0" w:tplc="7FA2D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064">
    <w:abstractNumId w:val="1"/>
  </w:num>
  <w:num w:numId="2" w16cid:durableId="153184861">
    <w:abstractNumId w:val="2"/>
  </w:num>
  <w:num w:numId="3" w16cid:durableId="1315380537">
    <w:abstractNumId w:val="4"/>
  </w:num>
  <w:num w:numId="4" w16cid:durableId="70129755">
    <w:abstractNumId w:val="3"/>
  </w:num>
  <w:num w:numId="5" w16cid:durableId="12823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3"/>
    <w:rsid w:val="0009524E"/>
    <w:rsid w:val="00097DD6"/>
    <w:rsid w:val="000B5BE7"/>
    <w:rsid w:val="000D54F0"/>
    <w:rsid w:val="001721BB"/>
    <w:rsid w:val="002564BC"/>
    <w:rsid w:val="0028320E"/>
    <w:rsid w:val="002D45E2"/>
    <w:rsid w:val="002E4A3C"/>
    <w:rsid w:val="00335028"/>
    <w:rsid w:val="003A735F"/>
    <w:rsid w:val="00443182"/>
    <w:rsid w:val="004A3C6B"/>
    <w:rsid w:val="004B1905"/>
    <w:rsid w:val="00513164"/>
    <w:rsid w:val="00524576"/>
    <w:rsid w:val="00675E81"/>
    <w:rsid w:val="006A6710"/>
    <w:rsid w:val="006C326A"/>
    <w:rsid w:val="00721F93"/>
    <w:rsid w:val="0076766C"/>
    <w:rsid w:val="00797FFA"/>
    <w:rsid w:val="007B3B83"/>
    <w:rsid w:val="008317DB"/>
    <w:rsid w:val="00834CCC"/>
    <w:rsid w:val="008436F0"/>
    <w:rsid w:val="0085749D"/>
    <w:rsid w:val="008858B9"/>
    <w:rsid w:val="00932CDA"/>
    <w:rsid w:val="009F62BA"/>
    <w:rsid w:val="009F7858"/>
    <w:rsid w:val="00A4103B"/>
    <w:rsid w:val="00A53BB7"/>
    <w:rsid w:val="00A80F9F"/>
    <w:rsid w:val="00A9405E"/>
    <w:rsid w:val="00A96CEB"/>
    <w:rsid w:val="00AD3FC4"/>
    <w:rsid w:val="00AE6706"/>
    <w:rsid w:val="00B03EA0"/>
    <w:rsid w:val="00B67754"/>
    <w:rsid w:val="00BC7225"/>
    <w:rsid w:val="00C52357"/>
    <w:rsid w:val="00C63D75"/>
    <w:rsid w:val="00CA1447"/>
    <w:rsid w:val="00CB74FF"/>
    <w:rsid w:val="00CE55B9"/>
    <w:rsid w:val="00CF7EDE"/>
    <w:rsid w:val="00D13029"/>
    <w:rsid w:val="00E31C01"/>
    <w:rsid w:val="00E423C0"/>
    <w:rsid w:val="00E4578F"/>
    <w:rsid w:val="00E92859"/>
    <w:rsid w:val="00EA5318"/>
    <w:rsid w:val="00F14A4F"/>
    <w:rsid w:val="00F36F9C"/>
    <w:rsid w:val="00F41D43"/>
    <w:rsid w:val="00F874D0"/>
    <w:rsid w:val="00FD104B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74ED"/>
  <w15:chartTrackingRefBased/>
  <w15:docId w15:val="{A6C602C3-72CA-48EA-9E9F-CD5BBFB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436F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43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AD3FC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F874D0"/>
    <w:pPr>
      <w:widowControl w:val="0"/>
      <w:autoSpaceDE w:val="0"/>
      <w:autoSpaceDN w:val="0"/>
      <w:spacing w:before="20"/>
    </w:pPr>
    <w:rPr>
      <w:rFonts w:ascii="Tahoma" w:eastAsia="Tahoma" w:hAnsi="Tahoma" w:cs="Tahoma"/>
      <w:sz w:val="22"/>
      <w:szCs w:val="22"/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874D0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vir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DEC7-E6A3-46E1-BE23-7B07D1AE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35</cp:revision>
  <cp:lastPrinted>2025-10-20T08:09:00Z</cp:lastPrinted>
  <dcterms:created xsi:type="dcterms:W3CDTF">2020-05-26T08:43:00Z</dcterms:created>
  <dcterms:modified xsi:type="dcterms:W3CDTF">2026-02-23T08:42:00Z</dcterms:modified>
</cp:coreProperties>
</file>