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51B0" w14:textId="77777777" w:rsidR="0022594C" w:rsidRPr="00B72E14" w:rsidRDefault="0022594C" w:rsidP="0022594C">
      <w:pPr>
        <w:jc w:val="center"/>
        <w:rPr>
          <w:rFonts w:ascii="Garamond" w:hAnsi="Garamond"/>
          <w:b/>
          <w:bCs/>
          <w:sz w:val="22"/>
          <w:szCs w:val="22"/>
        </w:rPr>
      </w:pPr>
      <w:r w:rsidRPr="00B72E14">
        <w:rPr>
          <w:rFonts w:ascii="Garamond" w:hAnsi="Garamond"/>
          <w:b/>
          <w:bCs/>
          <w:sz w:val="22"/>
          <w:szCs w:val="22"/>
        </w:rPr>
        <w:t>OBRAZLOŽENJE:</w:t>
      </w:r>
    </w:p>
    <w:p w14:paraId="58C899D0" w14:textId="77777777" w:rsidR="0022594C" w:rsidRPr="00B72E14" w:rsidRDefault="0022594C" w:rsidP="0022594C">
      <w:pPr>
        <w:rPr>
          <w:rFonts w:ascii="Garamond" w:hAnsi="Garamond"/>
          <w:sz w:val="22"/>
          <w:szCs w:val="22"/>
        </w:rPr>
      </w:pPr>
    </w:p>
    <w:p w14:paraId="22C1A857" w14:textId="77777777" w:rsidR="0022594C" w:rsidRDefault="0022594C" w:rsidP="0022594C">
      <w:pPr>
        <w:pStyle w:val="ListParagraph"/>
        <w:numPr>
          <w:ilvl w:val="0"/>
          <w:numId w:val="1"/>
        </w:numPr>
        <w:rPr>
          <w:rFonts w:ascii="Garamond" w:hAnsi="Garamond"/>
          <w:sz w:val="22"/>
          <w:szCs w:val="22"/>
        </w:rPr>
      </w:pPr>
      <w:r w:rsidRPr="00B72E14">
        <w:rPr>
          <w:rFonts w:ascii="Garamond" w:hAnsi="Garamond"/>
          <w:sz w:val="22"/>
          <w:szCs w:val="22"/>
        </w:rPr>
        <w:t>PRAVNI TEMELJ</w:t>
      </w:r>
    </w:p>
    <w:p w14:paraId="7A63DB08" w14:textId="77777777" w:rsidR="0022594C" w:rsidRPr="00B72E14" w:rsidRDefault="0022594C" w:rsidP="0022594C">
      <w:pPr>
        <w:pStyle w:val="ListParagraph"/>
        <w:ind w:left="1080"/>
        <w:rPr>
          <w:rFonts w:ascii="Garamond" w:hAnsi="Garamond"/>
          <w:sz w:val="22"/>
          <w:szCs w:val="22"/>
        </w:rPr>
      </w:pPr>
    </w:p>
    <w:p w14:paraId="63D6C268" w14:textId="77777777" w:rsidR="0022594C" w:rsidRPr="00B72E14" w:rsidRDefault="0022594C" w:rsidP="0022594C">
      <w:pPr>
        <w:rPr>
          <w:rFonts w:ascii="Garamond" w:hAnsi="Garamond"/>
          <w:sz w:val="22"/>
          <w:szCs w:val="22"/>
        </w:rPr>
      </w:pPr>
      <w:r w:rsidRPr="00B72E14">
        <w:rPr>
          <w:rFonts w:ascii="Garamond" w:hAnsi="Garamond"/>
          <w:sz w:val="22"/>
          <w:szCs w:val="22"/>
        </w:rPr>
        <w:t>Pravni temelj za donošenje ov</w:t>
      </w:r>
      <w:r>
        <w:rPr>
          <w:rFonts w:ascii="Garamond" w:hAnsi="Garamond"/>
          <w:sz w:val="22"/>
          <w:szCs w:val="22"/>
        </w:rPr>
        <w:t>e</w:t>
      </w:r>
      <w:r w:rsidRPr="00B72E14">
        <w:rPr>
          <w:rFonts w:ascii="Garamond" w:hAnsi="Garamond"/>
          <w:sz w:val="22"/>
          <w:szCs w:val="22"/>
        </w:rPr>
        <w:t xml:space="preserve"> Odluke nalazi se u članku 26.stavak 1. Zakona o područjuma žuopanija, gradova i općina u Republici Hrvatskoj (''Narodne novine'' broj 86/06, 125/06-ispravak, 16/07-ispravak, 95/08-Odluka USRH, 46/10-ispravak, 145/10, 37/13, 44/13, 45/13, 110/15). kojim je propisano da jedinice lokalne samouprave mogu sporazumno izmijeniti svoje granice. Odluku o promjeni granica donose njihva predstavnička tijela natpolovičnom većinom glasova svih članova na prijedlog garonačelnika/općinskog načelnika, a nakon pribavljenog mišljenja građana s područja na koje se promjena odnosi, ukoliko se radi o naseljenom području. Na temelju odluke predstavničkog tijela gradonačelnici/općinski načelnico sklapaju sporazum u kojem se granice opisuju tekstualno. Kartoghrafski prikaz je obvezan sastavni dio sporazuma. Potpisani sporazum dostavlja se središnjem tijelu državne uprave nadležnom za poslove lokalne samouprave, Državnoj geodetskoj upravi i državnom zavodu za statistiku.  </w:t>
      </w:r>
    </w:p>
    <w:p w14:paraId="40ECFD67" w14:textId="77777777" w:rsidR="0022594C" w:rsidRPr="00B72E14" w:rsidRDefault="0022594C" w:rsidP="0022594C">
      <w:pPr>
        <w:rPr>
          <w:rFonts w:ascii="Garamond" w:hAnsi="Garamond"/>
          <w:sz w:val="22"/>
          <w:szCs w:val="22"/>
        </w:rPr>
      </w:pPr>
    </w:p>
    <w:p w14:paraId="5EC2284A" w14:textId="77777777" w:rsidR="0022594C" w:rsidRPr="00B72E14" w:rsidRDefault="0022594C" w:rsidP="0022594C">
      <w:pPr>
        <w:rPr>
          <w:rFonts w:ascii="Garamond" w:hAnsi="Garamond"/>
          <w:sz w:val="22"/>
          <w:szCs w:val="22"/>
        </w:rPr>
      </w:pPr>
      <w:r w:rsidRPr="00B72E14">
        <w:rPr>
          <w:rFonts w:ascii="Garamond" w:hAnsi="Garamond"/>
          <w:sz w:val="22"/>
          <w:szCs w:val="22"/>
        </w:rPr>
        <w:t>Člankom 5. Zakona o Naseljima (''Narodne novine'' broj 39/22) propisano je da granicu područja naselja određuje odlukom predstavničko tijelo jedinoce loklane samouprave po čprethodno pribavljenom mišljenju vijeća mjesnog odbora odnosno drugog oblika mjesne samouprave koji se nalazi na području naselja na kojem se mijenja granica odnosno na području naselja koje se spaja ili razdvaja i nadležnog zavoda za prostorno uređenje županije odnosno Grada Zagreba. U jedinici lokalne samouprave u kojoj nisu sutrojeni oblici mjesne samouprave odluku iz stavka 1. ovoga članka donosi predstavničko tijelo po prethodnom mišljenju građana s područja naselja na kojem se mijenja granica odnosno područja naselja  koje se spaja ili razdvaja i nadležnog zavoda za prostorno uređenje županije odnosno Grada Zagreba.</w:t>
      </w:r>
    </w:p>
    <w:p w14:paraId="599090D9" w14:textId="77777777" w:rsidR="0022594C" w:rsidRPr="00B72E14" w:rsidRDefault="0022594C" w:rsidP="0022594C">
      <w:pPr>
        <w:rPr>
          <w:rFonts w:ascii="Garamond" w:hAnsi="Garamond"/>
          <w:sz w:val="22"/>
          <w:szCs w:val="22"/>
        </w:rPr>
      </w:pPr>
    </w:p>
    <w:p w14:paraId="1A11B93D" w14:textId="77777777" w:rsidR="0022594C" w:rsidRPr="00B72E14" w:rsidRDefault="0022594C" w:rsidP="0022594C">
      <w:pPr>
        <w:rPr>
          <w:rFonts w:ascii="Garamond" w:hAnsi="Garamond"/>
          <w:sz w:val="22"/>
          <w:szCs w:val="22"/>
        </w:rPr>
      </w:pPr>
    </w:p>
    <w:p w14:paraId="34FC1BEC" w14:textId="77777777" w:rsidR="0022594C" w:rsidRPr="00B72E14" w:rsidRDefault="0022594C" w:rsidP="0022594C">
      <w:pPr>
        <w:pStyle w:val="ListParagraph"/>
        <w:numPr>
          <w:ilvl w:val="0"/>
          <w:numId w:val="1"/>
        </w:numPr>
        <w:rPr>
          <w:rFonts w:ascii="Garamond" w:hAnsi="Garamond"/>
          <w:sz w:val="22"/>
          <w:szCs w:val="22"/>
        </w:rPr>
      </w:pPr>
      <w:r w:rsidRPr="00B72E14">
        <w:rPr>
          <w:rFonts w:ascii="Garamond" w:hAnsi="Garamond"/>
          <w:sz w:val="22"/>
          <w:szCs w:val="22"/>
        </w:rPr>
        <w:t>OCJENA STANJA, OSNOVNA PITANJA KOJA SE TREBAJU UREDITI I</w:t>
      </w:r>
    </w:p>
    <w:p w14:paraId="46C80081" w14:textId="77777777" w:rsidR="0022594C" w:rsidRPr="00B72E14" w:rsidRDefault="0022594C" w:rsidP="0022594C">
      <w:pPr>
        <w:rPr>
          <w:rFonts w:ascii="Garamond" w:hAnsi="Garamond"/>
          <w:sz w:val="22"/>
          <w:szCs w:val="22"/>
        </w:rPr>
      </w:pPr>
      <w:r w:rsidRPr="00B72E14">
        <w:rPr>
          <w:rFonts w:ascii="Garamond" w:hAnsi="Garamond"/>
          <w:sz w:val="22"/>
          <w:szCs w:val="22"/>
        </w:rPr>
        <w:t>SVRHA KOJA SE ŽELI POSTIĆI DONOŠENJEM AKTA</w:t>
      </w:r>
    </w:p>
    <w:p w14:paraId="01C8318E" w14:textId="77777777" w:rsidR="0022594C" w:rsidRPr="00B72E14" w:rsidRDefault="0022594C" w:rsidP="0022594C">
      <w:pPr>
        <w:rPr>
          <w:rFonts w:ascii="Garamond" w:hAnsi="Garamond"/>
          <w:sz w:val="22"/>
          <w:szCs w:val="22"/>
        </w:rPr>
      </w:pPr>
    </w:p>
    <w:p w14:paraId="7821BC25" w14:textId="77777777" w:rsidR="0022594C" w:rsidRPr="00B72E14" w:rsidRDefault="0022594C" w:rsidP="0022594C">
      <w:pPr>
        <w:rPr>
          <w:rFonts w:ascii="Garamond" w:hAnsi="Garamond"/>
          <w:sz w:val="22"/>
          <w:szCs w:val="22"/>
        </w:rPr>
      </w:pPr>
      <w:r w:rsidRPr="00B72E14">
        <w:rPr>
          <w:rFonts w:ascii="Garamond" w:hAnsi="Garamond"/>
          <w:sz w:val="22"/>
          <w:szCs w:val="22"/>
        </w:rPr>
        <w:t xml:space="preserve">Grad Pazin i Općina Tinjan suglasno su utvrdili potrebu za izmjenon granica između ovih jedinica lokalne samouprave na način da se dio mjesta Ježenj koje sada pripada naselju Tinjan u Općini Tinjan  pripoji Gradu Pazinu, jer stanovnici tog mjesta i inače gravitiraju ostatku mjesta Ježenj odnosno Gradu Pazinu. Na području predmetnog dijela naselja Ježenj živi pet punoljetnih stanovnika koji su se svi izjasnili na način da žele pripasti naselju Ježenj i Gradu Pazinu. </w:t>
      </w:r>
    </w:p>
    <w:p w14:paraId="413BD40D" w14:textId="77777777" w:rsidR="0022594C" w:rsidRPr="00B72E14" w:rsidRDefault="0022594C" w:rsidP="0022594C">
      <w:pPr>
        <w:rPr>
          <w:rFonts w:ascii="Garamond" w:hAnsi="Garamond"/>
          <w:sz w:val="22"/>
          <w:szCs w:val="22"/>
        </w:rPr>
      </w:pPr>
      <w:r w:rsidRPr="00B72E14">
        <w:rPr>
          <w:rFonts w:ascii="Garamond" w:hAnsi="Garamond"/>
          <w:sz w:val="22"/>
          <w:szCs w:val="22"/>
        </w:rPr>
        <w:t xml:space="preserve">Slijedom nevedenog sačinjen je Nacrt Odluke kojim se utvrđuje granica između Grada Pazina i Općine Tinjan kako je to prikazano na kartografskom prikazu koji se nalazi u privitku ove Odluke. </w:t>
      </w:r>
    </w:p>
    <w:p w14:paraId="2F42C3D3" w14:textId="77777777" w:rsidR="0022594C" w:rsidRPr="00B72E14" w:rsidRDefault="0022594C" w:rsidP="0022594C">
      <w:pPr>
        <w:rPr>
          <w:rFonts w:ascii="Garamond" w:hAnsi="Garamond"/>
          <w:sz w:val="22"/>
          <w:szCs w:val="22"/>
        </w:rPr>
      </w:pPr>
      <w:r w:rsidRPr="00B72E14">
        <w:rPr>
          <w:rFonts w:ascii="Garamond" w:hAnsi="Garamond"/>
          <w:sz w:val="22"/>
          <w:szCs w:val="22"/>
        </w:rPr>
        <w:t xml:space="preserve">Člankaom 4. stavak 1. Zakona o naseljima propisano je da se područje jednog naselja može nalaziti samo na području jedne jedinice lokalane samouprave te će se istovremeno s promjenom granica jedinice loklane samuprave biti potrebno izmjeniti i granicu naselja na način da dio naselja Tinjan postane dijelom naselja Ježenj. </w:t>
      </w:r>
    </w:p>
    <w:p w14:paraId="2F5F4BF9" w14:textId="77777777" w:rsidR="0022594C" w:rsidRPr="00B72E14" w:rsidRDefault="0022594C" w:rsidP="0022594C">
      <w:pPr>
        <w:rPr>
          <w:rFonts w:ascii="Garamond" w:hAnsi="Garamond"/>
          <w:sz w:val="22"/>
          <w:szCs w:val="22"/>
        </w:rPr>
      </w:pPr>
    </w:p>
    <w:p w14:paraId="75F24C85" w14:textId="77777777" w:rsidR="0022594C" w:rsidRPr="00B72E14" w:rsidRDefault="0022594C" w:rsidP="0022594C">
      <w:pPr>
        <w:pStyle w:val="Heading1"/>
        <w:keepNext w:val="0"/>
        <w:keepLines w:val="0"/>
        <w:widowControl w:val="0"/>
        <w:numPr>
          <w:ilvl w:val="0"/>
          <w:numId w:val="1"/>
        </w:numPr>
        <w:tabs>
          <w:tab w:val="left" w:pos="721"/>
        </w:tabs>
        <w:autoSpaceDE w:val="0"/>
        <w:autoSpaceDN w:val="0"/>
        <w:spacing w:before="0" w:after="0"/>
        <w:rPr>
          <w:rFonts w:ascii="Garamond" w:hAnsi="Garamond"/>
          <w:b/>
          <w:bCs/>
          <w:sz w:val="22"/>
          <w:szCs w:val="22"/>
        </w:rPr>
      </w:pPr>
      <w:r w:rsidRPr="00B72E14">
        <w:rPr>
          <w:rFonts w:ascii="Garamond" w:hAnsi="Garamond"/>
          <w:sz w:val="22"/>
          <w:szCs w:val="22"/>
        </w:rPr>
        <w:t>FINANCIJSKA</w:t>
      </w:r>
      <w:r w:rsidRPr="00B72E14">
        <w:rPr>
          <w:rFonts w:ascii="Garamond" w:hAnsi="Garamond"/>
          <w:spacing w:val="-7"/>
          <w:sz w:val="22"/>
          <w:szCs w:val="22"/>
        </w:rPr>
        <w:t xml:space="preserve"> </w:t>
      </w:r>
      <w:r w:rsidRPr="00B72E14">
        <w:rPr>
          <w:rFonts w:ascii="Garamond" w:hAnsi="Garamond"/>
          <w:sz w:val="22"/>
          <w:szCs w:val="22"/>
        </w:rPr>
        <w:t>SREDSTVA</w:t>
      </w:r>
      <w:r w:rsidRPr="00B72E14">
        <w:rPr>
          <w:rFonts w:ascii="Garamond" w:hAnsi="Garamond"/>
          <w:spacing w:val="-4"/>
          <w:sz w:val="22"/>
          <w:szCs w:val="22"/>
        </w:rPr>
        <w:t xml:space="preserve"> </w:t>
      </w:r>
      <w:r w:rsidRPr="00B72E14">
        <w:rPr>
          <w:rFonts w:ascii="Garamond" w:hAnsi="Garamond"/>
          <w:sz w:val="22"/>
          <w:szCs w:val="22"/>
        </w:rPr>
        <w:t>ZA</w:t>
      </w:r>
      <w:r w:rsidRPr="00B72E14">
        <w:rPr>
          <w:rFonts w:ascii="Garamond" w:hAnsi="Garamond"/>
          <w:spacing w:val="-4"/>
          <w:sz w:val="22"/>
          <w:szCs w:val="22"/>
        </w:rPr>
        <w:t xml:space="preserve"> </w:t>
      </w:r>
      <w:r w:rsidRPr="00B72E14">
        <w:rPr>
          <w:rFonts w:ascii="Garamond" w:hAnsi="Garamond"/>
          <w:sz w:val="22"/>
          <w:szCs w:val="22"/>
        </w:rPr>
        <w:t>PROVEDBU</w:t>
      </w:r>
      <w:r w:rsidRPr="00B72E14">
        <w:rPr>
          <w:rFonts w:ascii="Garamond" w:hAnsi="Garamond"/>
          <w:spacing w:val="-4"/>
          <w:sz w:val="22"/>
          <w:szCs w:val="22"/>
        </w:rPr>
        <w:t xml:space="preserve"> </w:t>
      </w:r>
      <w:r w:rsidRPr="00B72E14">
        <w:rPr>
          <w:rFonts w:ascii="Garamond" w:hAnsi="Garamond"/>
          <w:sz w:val="22"/>
          <w:szCs w:val="22"/>
        </w:rPr>
        <w:t>OVE</w:t>
      </w:r>
      <w:r w:rsidRPr="00B72E14">
        <w:rPr>
          <w:rFonts w:ascii="Garamond" w:hAnsi="Garamond"/>
          <w:spacing w:val="-3"/>
          <w:sz w:val="22"/>
          <w:szCs w:val="22"/>
        </w:rPr>
        <w:t xml:space="preserve"> </w:t>
      </w:r>
      <w:r w:rsidRPr="00B72E14">
        <w:rPr>
          <w:rFonts w:ascii="Garamond" w:hAnsi="Garamond"/>
          <w:spacing w:val="-2"/>
          <w:sz w:val="22"/>
          <w:szCs w:val="22"/>
        </w:rPr>
        <w:t>ODLUKE</w:t>
      </w:r>
    </w:p>
    <w:p w14:paraId="6B6E8BF1" w14:textId="77777777" w:rsidR="0022594C" w:rsidRPr="00B72E14" w:rsidRDefault="0022594C" w:rsidP="0022594C">
      <w:pPr>
        <w:pStyle w:val="BodyText"/>
        <w:spacing w:before="1"/>
        <w:rPr>
          <w:rFonts w:ascii="Garamond" w:hAnsi="Garamond"/>
          <w:b/>
          <w:sz w:val="22"/>
          <w:szCs w:val="22"/>
        </w:rPr>
      </w:pPr>
    </w:p>
    <w:p w14:paraId="0AFB7FAF" w14:textId="77777777" w:rsidR="0022594C" w:rsidRPr="00B72E14" w:rsidRDefault="0022594C" w:rsidP="0022594C">
      <w:pPr>
        <w:pStyle w:val="BodyText"/>
        <w:ind w:left="1"/>
        <w:jc w:val="both"/>
        <w:rPr>
          <w:rFonts w:ascii="Garamond" w:hAnsi="Garamond"/>
          <w:sz w:val="22"/>
          <w:szCs w:val="22"/>
        </w:rPr>
      </w:pPr>
      <w:r w:rsidRPr="00B72E14">
        <w:rPr>
          <w:rFonts w:ascii="Garamond" w:hAnsi="Garamond"/>
          <w:sz w:val="22"/>
          <w:szCs w:val="22"/>
        </w:rPr>
        <w:t>Za</w:t>
      </w:r>
      <w:r w:rsidRPr="00B72E14">
        <w:rPr>
          <w:rFonts w:ascii="Garamond" w:hAnsi="Garamond"/>
          <w:spacing w:val="-3"/>
          <w:sz w:val="22"/>
          <w:szCs w:val="22"/>
        </w:rPr>
        <w:t xml:space="preserve"> </w:t>
      </w:r>
      <w:r w:rsidRPr="00B72E14">
        <w:rPr>
          <w:rFonts w:ascii="Garamond" w:hAnsi="Garamond"/>
          <w:sz w:val="22"/>
          <w:szCs w:val="22"/>
        </w:rPr>
        <w:t>provođenje ove</w:t>
      </w:r>
      <w:r w:rsidRPr="00B72E14">
        <w:rPr>
          <w:rFonts w:ascii="Garamond" w:hAnsi="Garamond"/>
          <w:spacing w:val="-1"/>
          <w:sz w:val="22"/>
          <w:szCs w:val="22"/>
        </w:rPr>
        <w:t xml:space="preserve"> </w:t>
      </w:r>
      <w:r w:rsidRPr="00B72E14">
        <w:rPr>
          <w:rFonts w:ascii="Garamond" w:hAnsi="Garamond"/>
          <w:sz w:val="22"/>
          <w:szCs w:val="22"/>
        </w:rPr>
        <w:t>Odluke</w:t>
      </w:r>
      <w:r w:rsidRPr="00B72E14">
        <w:rPr>
          <w:rFonts w:ascii="Garamond" w:hAnsi="Garamond"/>
          <w:spacing w:val="-1"/>
          <w:sz w:val="22"/>
          <w:szCs w:val="22"/>
        </w:rPr>
        <w:t xml:space="preserve"> </w:t>
      </w:r>
      <w:r w:rsidRPr="00B72E14">
        <w:rPr>
          <w:rFonts w:ascii="Garamond" w:hAnsi="Garamond"/>
          <w:sz w:val="22"/>
          <w:szCs w:val="22"/>
        </w:rPr>
        <w:t>nije</w:t>
      </w:r>
      <w:r w:rsidRPr="00B72E14">
        <w:rPr>
          <w:rFonts w:ascii="Garamond" w:hAnsi="Garamond"/>
          <w:spacing w:val="-1"/>
          <w:sz w:val="22"/>
          <w:szCs w:val="22"/>
        </w:rPr>
        <w:t xml:space="preserve"> </w:t>
      </w:r>
      <w:r w:rsidRPr="00B72E14">
        <w:rPr>
          <w:rFonts w:ascii="Garamond" w:hAnsi="Garamond"/>
          <w:sz w:val="22"/>
          <w:szCs w:val="22"/>
        </w:rPr>
        <w:t>potrebno</w:t>
      </w:r>
      <w:r w:rsidRPr="00B72E14">
        <w:rPr>
          <w:rFonts w:ascii="Garamond" w:hAnsi="Garamond"/>
          <w:spacing w:val="-1"/>
          <w:sz w:val="22"/>
          <w:szCs w:val="22"/>
        </w:rPr>
        <w:t xml:space="preserve"> </w:t>
      </w:r>
      <w:r w:rsidRPr="00B72E14">
        <w:rPr>
          <w:rFonts w:ascii="Garamond" w:hAnsi="Garamond"/>
          <w:sz w:val="22"/>
          <w:szCs w:val="22"/>
        </w:rPr>
        <w:t>osigurati dodatna</w:t>
      </w:r>
      <w:r w:rsidRPr="00B72E14">
        <w:rPr>
          <w:rFonts w:ascii="Garamond" w:hAnsi="Garamond"/>
          <w:spacing w:val="-1"/>
          <w:sz w:val="22"/>
          <w:szCs w:val="22"/>
        </w:rPr>
        <w:t xml:space="preserve"> </w:t>
      </w:r>
      <w:r w:rsidRPr="00B72E14">
        <w:rPr>
          <w:rFonts w:ascii="Garamond" w:hAnsi="Garamond"/>
          <w:sz w:val="22"/>
          <w:szCs w:val="22"/>
        </w:rPr>
        <w:t xml:space="preserve">sredstva u </w:t>
      </w:r>
      <w:r w:rsidRPr="00B72E14">
        <w:rPr>
          <w:rFonts w:ascii="Garamond" w:hAnsi="Garamond"/>
          <w:spacing w:val="-2"/>
          <w:sz w:val="22"/>
          <w:szCs w:val="22"/>
        </w:rPr>
        <w:t>Proračunu</w:t>
      </w:r>
      <w:r>
        <w:rPr>
          <w:rFonts w:ascii="Garamond" w:hAnsi="Garamond"/>
          <w:spacing w:val="-2"/>
          <w:sz w:val="22"/>
          <w:szCs w:val="22"/>
        </w:rPr>
        <w:t xml:space="preserve"> Općine Tinjan.</w:t>
      </w:r>
      <w:r w:rsidRPr="00B72E14">
        <w:rPr>
          <w:rFonts w:ascii="Garamond" w:hAnsi="Garamond"/>
          <w:spacing w:val="-2"/>
          <w:sz w:val="22"/>
          <w:szCs w:val="22"/>
        </w:rPr>
        <w:t>.</w:t>
      </w:r>
    </w:p>
    <w:p w14:paraId="6D5E1C09" w14:textId="77777777" w:rsidR="0022594C" w:rsidRPr="00B72E14" w:rsidRDefault="0022594C" w:rsidP="0022594C">
      <w:pPr>
        <w:rPr>
          <w:rFonts w:ascii="Garamond" w:hAnsi="Garamond"/>
          <w:sz w:val="22"/>
          <w:szCs w:val="22"/>
        </w:rPr>
      </w:pPr>
    </w:p>
    <w:p w14:paraId="16D7C65B" w14:textId="77777777" w:rsidR="00240C36" w:rsidRDefault="00240C36"/>
    <w:sectPr w:rsidR="00240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82EE3"/>
    <w:multiLevelType w:val="hybridMultilevel"/>
    <w:tmpl w:val="F5F69052"/>
    <w:lvl w:ilvl="0" w:tplc="30BE6A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6319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4C"/>
    <w:rsid w:val="0022594C"/>
    <w:rsid w:val="0023676F"/>
    <w:rsid w:val="00240C36"/>
    <w:rsid w:val="005812C0"/>
    <w:rsid w:val="006E32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3105"/>
  <w15:chartTrackingRefBased/>
  <w15:docId w15:val="{5297B2A4-12C2-48E9-9C6E-030AC5C3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4C"/>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225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5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5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5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5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59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9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9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9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9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59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59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59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59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5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94C"/>
    <w:rPr>
      <w:rFonts w:eastAsiaTheme="majorEastAsia" w:cstheme="majorBidi"/>
      <w:color w:val="272727" w:themeColor="text1" w:themeTint="D8"/>
    </w:rPr>
  </w:style>
  <w:style w:type="paragraph" w:styleId="Title">
    <w:name w:val="Title"/>
    <w:basedOn w:val="Normal"/>
    <w:next w:val="Normal"/>
    <w:link w:val="TitleChar"/>
    <w:uiPriority w:val="10"/>
    <w:qFormat/>
    <w:rsid w:val="002259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94C"/>
    <w:pPr>
      <w:spacing w:before="160"/>
      <w:jc w:val="center"/>
    </w:pPr>
    <w:rPr>
      <w:i/>
      <w:iCs/>
      <w:color w:val="404040" w:themeColor="text1" w:themeTint="BF"/>
    </w:rPr>
  </w:style>
  <w:style w:type="character" w:customStyle="1" w:styleId="QuoteChar">
    <w:name w:val="Quote Char"/>
    <w:basedOn w:val="DefaultParagraphFont"/>
    <w:link w:val="Quote"/>
    <w:uiPriority w:val="29"/>
    <w:rsid w:val="0022594C"/>
    <w:rPr>
      <w:i/>
      <w:iCs/>
      <w:color w:val="404040" w:themeColor="text1" w:themeTint="BF"/>
    </w:rPr>
  </w:style>
  <w:style w:type="paragraph" w:styleId="ListParagraph">
    <w:name w:val="List Paragraph"/>
    <w:basedOn w:val="Normal"/>
    <w:uiPriority w:val="34"/>
    <w:qFormat/>
    <w:rsid w:val="0022594C"/>
    <w:pPr>
      <w:ind w:left="720"/>
      <w:contextualSpacing/>
    </w:pPr>
  </w:style>
  <w:style w:type="character" w:styleId="IntenseEmphasis">
    <w:name w:val="Intense Emphasis"/>
    <w:basedOn w:val="DefaultParagraphFont"/>
    <w:uiPriority w:val="21"/>
    <w:qFormat/>
    <w:rsid w:val="0022594C"/>
    <w:rPr>
      <w:i/>
      <w:iCs/>
      <w:color w:val="2F5496" w:themeColor="accent1" w:themeShade="BF"/>
    </w:rPr>
  </w:style>
  <w:style w:type="paragraph" w:styleId="IntenseQuote">
    <w:name w:val="Intense Quote"/>
    <w:basedOn w:val="Normal"/>
    <w:next w:val="Normal"/>
    <w:link w:val="IntenseQuoteChar"/>
    <w:uiPriority w:val="30"/>
    <w:qFormat/>
    <w:rsid w:val="00225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94C"/>
    <w:rPr>
      <w:i/>
      <w:iCs/>
      <w:color w:val="2F5496" w:themeColor="accent1" w:themeShade="BF"/>
    </w:rPr>
  </w:style>
  <w:style w:type="character" w:styleId="IntenseReference">
    <w:name w:val="Intense Reference"/>
    <w:basedOn w:val="DefaultParagraphFont"/>
    <w:uiPriority w:val="32"/>
    <w:qFormat/>
    <w:rsid w:val="0022594C"/>
    <w:rPr>
      <w:b/>
      <w:bCs/>
      <w:smallCaps/>
      <w:color w:val="2F5496" w:themeColor="accent1" w:themeShade="BF"/>
      <w:spacing w:val="5"/>
    </w:rPr>
  </w:style>
  <w:style w:type="paragraph" w:styleId="BodyText">
    <w:name w:val="Body Text"/>
    <w:basedOn w:val="Normal"/>
    <w:link w:val="BodyTextChar"/>
    <w:uiPriority w:val="1"/>
    <w:qFormat/>
    <w:rsid w:val="0022594C"/>
    <w:pPr>
      <w:widowControl w:val="0"/>
      <w:autoSpaceDE w:val="0"/>
      <w:autoSpaceDN w:val="0"/>
    </w:pPr>
    <w:rPr>
      <w:lang w:eastAsia="en-US"/>
    </w:rPr>
  </w:style>
  <w:style w:type="character" w:customStyle="1" w:styleId="BodyTextChar">
    <w:name w:val="Body Text Char"/>
    <w:basedOn w:val="DefaultParagraphFont"/>
    <w:link w:val="BodyText"/>
    <w:uiPriority w:val="1"/>
    <w:rsid w:val="0022594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2025-12-02T09:01:00Z</dcterms:created>
  <dcterms:modified xsi:type="dcterms:W3CDTF">2025-12-02T09:01:00Z</dcterms:modified>
</cp:coreProperties>
</file>