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189F" w14:textId="445FD1B7" w:rsidR="002131A7" w:rsidRPr="00254586" w:rsidRDefault="00000000">
      <w:pPr>
        <w:pStyle w:val="Tijeloteksta"/>
        <w:spacing w:before="44" w:line="225" w:lineRule="auto"/>
        <w:ind w:left="97" w:right="70" w:hanging="3"/>
        <w:rPr>
          <w:rFonts w:asciiTheme="minorHAnsi" w:hAnsiTheme="minorHAnsi" w:cstheme="minorHAnsi"/>
        </w:rPr>
      </w:pPr>
      <w:r w:rsidRPr="00254586">
        <w:rPr>
          <w:rFonts w:asciiTheme="minorHAnsi" w:hAnsiTheme="minorHAnsi" w:cstheme="minorHAnsi"/>
          <w:color w:val="111111"/>
        </w:rPr>
        <w:t>Na</w:t>
      </w:r>
      <w:r w:rsidR="00FF2452" w:rsidRPr="00254586">
        <w:rPr>
          <w:rFonts w:asciiTheme="minorHAnsi" w:hAnsiTheme="minorHAnsi" w:cstheme="minorHAnsi"/>
          <w:color w:val="111111"/>
        </w:rPr>
        <w:t xml:space="preserve"> </w:t>
      </w:r>
      <w:r w:rsidRPr="00254586">
        <w:rPr>
          <w:rFonts w:asciiTheme="minorHAnsi" w:hAnsiTheme="minorHAnsi" w:cstheme="minorHAnsi"/>
          <w:color w:val="111111"/>
        </w:rPr>
        <w:t xml:space="preserve">temelju odredbi članka </w:t>
      </w:r>
      <w:r w:rsidR="00FF2452" w:rsidRPr="00254586">
        <w:rPr>
          <w:rFonts w:asciiTheme="minorHAnsi" w:hAnsiTheme="minorHAnsi" w:cstheme="minorHAnsi"/>
          <w:color w:val="111111"/>
        </w:rPr>
        <w:t>45</w:t>
      </w:r>
      <w:r w:rsidRPr="00254586">
        <w:rPr>
          <w:rFonts w:asciiTheme="minorHAnsi" w:hAnsiTheme="minorHAnsi" w:cstheme="minorHAnsi"/>
          <w:color w:val="111111"/>
        </w:rPr>
        <w:t>. Statuta</w:t>
      </w:r>
      <w:r w:rsidR="00FF2452" w:rsidRPr="00254586">
        <w:rPr>
          <w:rFonts w:asciiTheme="minorHAnsi" w:hAnsiTheme="minorHAnsi" w:cstheme="minorHAnsi"/>
          <w:color w:val="111111"/>
        </w:rPr>
        <w:t xml:space="preserve"> </w:t>
      </w:r>
      <w:r w:rsidRPr="00254586">
        <w:rPr>
          <w:rFonts w:asciiTheme="minorHAnsi" w:hAnsiTheme="minorHAnsi" w:cstheme="minorHAnsi"/>
          <w:color w:val="111111"/>
        </w:rPr>
        <w:t xml:space="preserve">Općine </w:t>
      </w:r>
      <w:r w:rsidR="003D140A" w:rsidRPr="00254586">
        <w:rPr>
          <w:rFonts w:asciiTheme="minorHAnsi" w:hAnsiTheme="minorHAnsi" w:cstheme="minorHAnsi"/>
          <w:color w:val="111111"/>
        </w:rPr>
        <w:t xml:space="preserve">Sveti Lovreč </w:t>
      </w:r>
      <w:r w:rsidR="00254586" w:rsidRPr="00254586">
        <w:rPr>
          <w:rFonts w:asciiTheme="minorHAnsi" w:hAnsiTheme="minorHAnsi" w:cstheme="minorHAnsi"/>
        </w:rPr>
        <w:t>(„Službene novine Istarske županije“ br. 7/09, „Službene novine Općine Sv. Lovreč“ br. 2/13 i 4/13 - pročišćeni tekst, 4/14, 1/21 i 2/25</w:t>
      </w:r>
      <w:r w:rsidR="00254586">
        <w:rPr>
          <w:rFonts w:asciiTheme="minorHAnsi" w:hAnsiTheme="minorHAnsi" w:cstheme="minorHAnsi"/>
        </w:rPr>
        <w:t xml:space="preserve">) </w:t>
      </w:r>
      <w:r w:rsidRPr="00254586">
        <w:rPr>
          <w:rFonts w:asciiTheme="minorHAnsi" w:hAnsiTheme="minorHAnsi" w:cstheme="minorHAnsi"/>
          <w:color w:val="111111"/>
        </w:rPr>
        <w:t>Općinski</w:t>
      </w:r>
      <w:r w:rsidRPr="00254586">
        <w:rPr>
          <w:rFonts w:asciiTheme="minorHAnsi" w:hAnsiTheme="minorHAnsi" w:cstheme="minorHAnsi"/>
          <w:color w:val="111111"/>
          <w:spacing w:val="-8"/>
        </w:rPr>
        <w:t xml:space="preserve"> </w:t>
      </w:r>
      <w:r w:rsidRPr="00254586">
        <w:rPr>
          <w:rFonts w:asciiTheme="minorHAnsi" w:hAnsiTheme="minorHAnsi" w:cstheme="minorHAnsi"/>
          <w:color w:val="111111"/>
        </w:rPr>
        <w:t>načelnik</w:t>
      </w:r>
      <w:r w:rsidRPr="00254586">
        <w:rPr>
          <w:rFonts w:asciiTheme="minorHAnsi" w:hAnsiTheme="minorHAnsi" w:cstheme="minorHAnsi"/>
          <w:color w:val="111111"/>
          <w:spacing w:val="-10"/>
        </w:rPr>
        <w:t xml:space="preserve"> </w:t>
      </w:r>
      <w:r w:rsidRPr="00254586">
        <w:rPr>
          <w:rFonts w:asciiTheme="minorHAnsi" w:hAnsiTheme="minorHAnsi" w:cstheme="minorHAnsi"/>
          <w:color w:val="111111"/>
        </w:rPr>
        <w:t>Općine</w:t>
      </w:r>
      <w:r w:rsidR="003D140A" w:rsidRPr="00254586">
        <w:rPr>
          <w:rFonts w:asciiTheme="minorHAnsi" w:hAnsiTheme="minorHAnsi" w:cstheme="minorHAnsi"/>
          <w:color w:val="111111"/>
          <w:spacing w:val="-10"/>
        </w:rPr>
        <w:t xml:space="preserve"> Sveti Lovreč</w:t>
      </w:r>
      <w:r w:rsidRPr="00254586">
        <w:rPr>
          <w:rFonts w:asciiTheme="minorHAnsi" w:hAnsiTheme="minorHAnsi" w:cstheme="minorHAnsi"/>
          <w:color w:val="111111"/>
          <w:spacing w:val="-12"/>
        </w:rPr>
        <w:t xml:space="preserve"> </w:t>
      </w:r>
      <w:r w:rsidRPr="00254586">
        <w:rPr>
          <w:rFonts w:asciiTheme="minorHAnsi" w:hAnsiTheme="minorHAnsi" w:cstheme="minorHAnsi"/>
          <w:color w:val="111111"/>
        </w:rPr>
        <w:t>daje</w:t>
      </w:r>
    </w:p>
    <w:p w14:paraId="3E266D2B" w14:textId="77777777" w:rsidR="002131A7" w:rsidRDefault="002131A7">
      <w:pPr>
        <w:pStyle w:val="Tijeloteksta"/>
        <w:spacing w:before="256"/>
        <w:jc w:val="left"/>
      </w:pPr>
    </w:p>
    <w:p w14:paraId="6336E98E" w14:textId="77777777" w:rsidR="002131A7" w:rsidRDefault="00000000">
      <w:pPr>
        <w:pStyle w:val="Naslov"/>
      </w:pPr>
      <w:r>
        <w:rPr>
          <w:color w:val="111111"/>
          <w:spacing w:val="-2"/>
        </w:rPr>
        <w:t>SUGLASNOST</w:t>
      </w:r>
    </w:p>
    <w:p w14:paraId="4CAACBBF" w14:textId="4ED87209" w:rsidR="002131A7" w:rsidRDefault="00000000">
      <w:pPr>
        <w:pStyle w:val="Naslov"/>
        <w:ind w:left="23"/>
      </w:pPr>
      <w:r>
        <w:rPr>
          <w:color w:val="111111"/>
          <w:spacing w:val="-6"/>
        </w:rPr>
        <w:t>na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6"/>
        </w:rPr>
        <w:t>Odluku</w:t>
      </w:r>
      <w:r>
        <w:rPr>
          <w:color w:val="111111"/>
          <w:spacing w:val="-8"/>
        </w:rPr>
        <w:t xml:space="preserve"> </w:t>
      </w:r>
      <w:r w:rsidRPr="003D140A">
        <w:rPr>
          <w:bCs w:val="0"/>
          <w:color w:val="111111"/>
          <w:spacing w:val="-6"/>
        </w:rPr>
        <w:t>o</w:t>
      </w:r>
      <w:r>
        <w:rPr>
          <w:b w:val="0"/>
          <w:color w:val="111111"/>
          <w:spacing w:val="-10"/>
        </w:rPr>
        <w:t xml:space="preserve"> </w:t>
      </w:r>
      <w:r>
        <w:rPr>
          <w:color w:val="111111"/>
          <w:spacing w:val="-6"/>
        </w:rPr>
        <w:t>promjeni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6"/>
        </w:rPr>
        <w:t>granica</w:t>
      </w:r>
      <w:r>
        <w:rPr>
          <w:color w:val="111111"/>
          <w:spacing w:val="-11"/>
        </w:rPr>
        <w:t xml:space="preserve"> </w:t>
      </w:r>
      <w:r>
        <w:rPr>
          <w:color w:val="111111"/>
          <w:spacing w:val="-6"/>
        </w:rPr>
        <w:t>izmedu</w:t>
      </w:r>
      <w:r>
        <w:rPr>
          <w:color w:val="111111"/>
          <w:spacing w:val="-5"/>
        </w:rPr>
        <w:t xml:space="preserve"> </w:t>
      </w:r>
      <w:r w:rsidR="003D140A">
        <w:rPr>
          <w:color w:val="111111"/>
          <w:spacing w:val="-6"/>
        </w:rPr>
        <w:t xml:space="preserve">Općine Sveti Lovreč i Općine Kanfanar </w:t>
      </w:r>
    </w:p>
    <w:p w14:paraId="4F572C16" w14:textId="77777777" w:rsidR="002131A7" w:rsidRDefault="002131A7">
      <w:pPr>
        <w:pStyle w:val="Tijeloteksta"/>
        <w:spacing w:before="242"/>
        <w:jc w:val="left"/>
        <w:rPr>
          <w:b/>
        </w:rPr>
      </w:pPr>
    </w:p>
    <w:p w14:paraId="5E432FB1" w14:textId="7A0E511A" w:rsidR="002131A7" w:rsidRDefault="00254586">
      <w:pPr>
        <w:pStyle w:val="Tijeloteksta"/>
        <w:spacing w:line="274" w:lineRule="exact"/>
        <w:ind w:left="4189"/>
      </w:pPr>
      <w:r>
        <w:rPr>
          <w:color w:val="111111"/>
        </w:rPr>
        <w:t>Članak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5"/>
        </w:rPr>
        <w:t>1.</w:t>
      </w:r>
    </w:p>
    <w:p w14:paraId="52898220" w14:textId="50B1CAEC" w:rsidR="002131A7" w:rsidRPr="00FF2452" w:rsidRDefault="00000000">
      <w:pPr>
        <w:pStyle w:val="Tijeloteksta"/>
        <w:spacing w:before="2" w:line="230" w:lineRule="auto"/>
        <w:ind w:left="94" w:right="46" w:firstLine="4"/>
        <w:rPr>
          <w:rFonts w:asciiTheme="minorHAnsi" w:hAnsiTheme="minorHAnsi" w:cstheme="minorHAnsi"/>
        </w:rPr>
      </w:pPr>
      <w:r w:rsidRPr="00FF2452">
        <w:rPr>
          <w:rFonts w:asciiTheme="minorHAnsi" w:hAnsiTheme="minorHAnsi" w:cstheme="minorHAnsi"/>
          <w:color w:val="111111"/>
          <w:spacing w:val="-4"/>
        </w:rPr>
        <w:t>Općinski</w:t>
      </w:r>
      <w:r w:rsidRPr="00FF2452">
        <w:rPr>
          <w:rFonts w:asciiTheme="minorHAnsi" w:hAnsiTheme="minorHAnsi" w:cstheme="minorHAnsi"/>
          <w:color w:val="111111"/>
          <w:spacing w:val="-9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4"/>
        </w:rPr>
        <w:t>načelnik</w:t>
      </w:r>
      <w:r w:rsidRPr="00FF2452">
        <w:rPr>
          <w:rFonts w:asciiTheme="minorHAnsi" w:hAnsiTheme="minorHAnsi" w:cstheme="minorHAnsi"/>
          <w:color w:val="111111"/>
          <w:spacing w:val="-9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4"/>
        </w:rPr>
        <w:t>Općine</w:t>
      </w:r>
      <w:r w:rsidR="003D140A" w:rsidRPr="00FF2452">
        <w:rPr>
          <w:rFonts w:asciiTheme="minorHAnsi" w:hAnsiTheme="minorHAnsi" w:cstheme="minorHAnsi"/>
          <w:color w:val="111111"/>
          <w:spacing w:val="-8"/>
        </w:rPr>
        <w:t xml:space="preserve"> Sveti Lovreč</w:t>
      </w:r>
      <w:r w:rsidRPr="00FF2452">
        <w:rPr>
          <w:rFonts w:asciiTheme="minorHAnsi" w:hAnsiTheme="minorHAnsi" w:cstheme="minorHAnsi"/>
          <w:color w:val="111111"/>
          <w:spacing w:val="-9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4"/>
        </w:rPr>
        <w:t>daje</w:t>
      </w:r>
      <w:r w:rsidRPr="00FF2452">
        <w:rPr>
          <w:rFonts w:asciiTheme="minorHAnsi" w:hAnsiTheme="minorHAnsi" w:cstheme="minorHAnsi"/>
          <w:color w:val="111111"/>
          <w:spacing w:val="-7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4"/>
        </w:rPr>
        <w:t>suglasnost</w:t>
      </w:r>
      <w:r w:rsidRPr="00FF2452">
        <w:rPr>
          <w:rFonts w:asciiTheme="minorHAnsi" w:hAnsiTheme="minorHAnsi" w:cstheme="minorHAnsi"/>
          <w:color w:val="111111"/>
          <w:spacing w:val="-9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4"/>
        </w:rPr>
        <w:t>na</w:t>
      </w:r>
      <w:r w:rsidRPr="00FF2452">
        <w:rPr>
          <w:rFonts w:asciiTheme="minorHAnsi" w:hAnsiTheme="minorHAnsi" w:cstheme="minorHAnsi"/>
          <w:color w:val="111111"/>
          <w:spacing w:val="-7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4"/>
        </w:rPr>
        <w:t>prijedlog</w:t>
      </w:r>
      <w:r w:rsidRPr="00FF2452">
        <w:rPr>
          <w:rFonts w:asciiTheme="minorHAnsi" w:hAnsiTheme="minorHAnsi" w:cstheme="minorHAnsi"/>
          <w:color w:val="111111"/>
          <w:spacing w:val="-9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4"/>
        </w:rPr>
        <w:t>Odluke</w:t>
      </w:r>
      <w:r w:rsidRPr="00FF2452">
        <w:rPr>
          <w:rFonts w:asciiTheme="minorHAnsi" w:hAnsiTheme="minorHAnsi" w:cstheme="minorHAnsi"/>
          <w:color w:val="111111"/>
          <w:spacing w:val="-9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4"/>
        </w:rPr>
        <w:t>o</w:t>
      </w:r>
      <w:r w:rsidRPr="00FF2452">
        <w:rPr>
          <w:rFonts w:asciiTheme="minorHAnsi" w:hAnsiTheme="minorHAnsi" w:cstheme="minorHAnsi"/>
          <w:color w:val="111111"/>
          <w:spacing w:val="-7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4"/>
        </w:rPr>
        <w:t>promjeni</w:t>
      </w:r>
      <w:r w:rsidRPr="00FF2452">
        <w:rPr>
          <w:rFonts w:asciiTheme="minorHAnsi" w:hAnsiTheme="minorHAnsi" w:cstheme="minorHAnsi"/>
          <w:color w:val="111111"/>
          <w:spacing w:val="-9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4"/>
        </w:rPr>
        <w:t>granica</w:t>
      </w:r>
      <w:r w:rsidRPr="00FF2452">
        <w:rPr>
          <w:rFonts w:asciiTheme="minorHAnsi" w:hAnsiTheme="minorHAnsi" w:cstheme="minorHAnsi"/>
          <w:color w:val="111111"/>
          <w:spacing w:val="-7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4"/>
        </w:rPr>
        <w:t>izme</w:t>
      </w:r>
      <w:r w:rsidR="00254586">
        <w:rPr>
          <w:rFonts w:asciiTheme="minorHAnsi" w:hAnsiTheme="minorHAnsi" w:cstheme="minorHAnsi"/>
          <w:color w:val="111111"/>
          <w:spacing w:val="-4"/>
        </w:rPr>
        <w:t>đ</w:t>
      </w:r>
      <w:r w:rsidRPr="00FF2452">
        <w:rPr>
          <w:rFonts w:asciiTheme="minorHAnsi" w:hAnsiTheme="minorHAnsi" w:cstheme="minorHAnsi"/>
          <w:color w:val="111111"/>
          <w:spacing w:val="-4"/>
        </w:rPr>
        <w:t>u</w:t>
      </w:r>
      <w:r w:rsidRPr="00FF2452">
        <w:rPr>
          <w:rFonts w:asciiTheme="minorHAnsi" w:hAnsiTheme="minorHAnsi" w:cstheme="minorHAnsi"/>
          <w:color w:val="111111"/>
          <w:spacing w:val="-2"/>
        </w:rPr>
        <w:t xml:space="preserve"> </w:t>
      </w:r>
      <w:r w:rsidR="003D140A" w:rsidRPr="00FF2452">
        <w:rPr>
          <w:rFonts w:asciiTheme="minorHAnsi" w:hAnsiTheme="minorHAnsi" w:cstheme="minorHAnsi"/>
          <w:color w:val="111111"/>
          <w:spacing w:val="-4"/>
        </w:rPr>
        <w:t>Općine Sveti Lovreč i Općine Kanfanar</w:t>
      </w:r>
      <w:r w:rsidRPr="00FF2452">
        <w:rPr>
          <w:rFonts w:asciiTheme="minorHAnsi" w:hAnsiTheme="minorHAnsi" w:cstheme="minorHAnsi"/>
          <w:color w:val="111111"/>
          <w:spacing w:val="-7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6"/>
        </w:rPr>
        <w:t>kojom</w:t>
      </w:r>
      <w:r w:rsidRPr="00FF2452">
        <w:rPr>
          <w:rFonts w:asciiTheme="minorHAnsi" w:hAnsiTheme="minorHAnsi" w:cstheme="minorHAnsi"/>
          <w:color w:val="111111"/>
          <w:spacing w:val="-7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6"/>
        </w:rPr>
        <w:t>se</w:t>
      </w:r>
      <w:r w:rsidRPr="00FF2452">
        <w:rPr>
          <w:rFonts w:asciiTheme="minorHAnsi" w:hAnsiTheme="minorHAnsi" w:cstheme="minorHAnsi"/>
          <w:color w:val="111111"/>
          <w:spacing w:val="-7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6"/>
        </w:rPr>
        <w:t>mijenja</w:t>
      </w:r>
      <w:r w:rsidRPr="00FF2452">
        <w:rPr>
          <w:rFonts w:asciiTheme="minorHAnsi" w:hAnsiTheme="minorHAnsi" w:cstheme="minorHAnsi"/>
          <w:color w:val="111111"/>
          <w:spacing w:val="-7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6"/>
        </w:rPr>
        <w:t>granica</w:t>
      </w:r>
      <w:r w:rsidRPr="00FF2452">
        <w:rPr>
          <w:rFonts w:asciiTheme="minorHAnsi" w:hAnsiTheme="minorHAnsi" w:cstheme="minorHAnsi"/>
          <w:color w:val="111111"/>
          <w:spacing w:val="-7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6"/>
        </w:rPr>
        <w:t>naselja</w:t>
      </w:r>
      <w:r w:rsidR="00FF2452" w:rsidRPr="00FF2452">
        <w:rPr>
          <w:rFonts w:asciiTheme="minorHAnsi" w:hAnsiTheme="minorHAnsi" w:cstheme="minorHAnsi"/>
          <w:color w:val="111111"/>
          <w:spacing w:val="-7"/>
        </w:rPr>
        <w:t xml:space="preserve"> </w:t>
      </w:r>
      <w:r w:rsidR="00FF2452" w:rsidRPr="00FF2452">
        <w:rPr>
          <w:rFonts w:asciiTheme="minorHAnsi" w:hAnsiTheme="minorHAnsi" w:cstheme="minorHAnsi"/>
        </w:rPr>
        <w:t xml:space="preserve">Krunčići, Kršuli, Frnjolići, Selina i Knapići </w:t>
      </w:r>
      <w:r w:rsidRPr="00FF2452">
        <w:rPr>
          <w:rFonts w:asciiTheme="minorHAnsi" w:hAnsiTheme="minorHAnsi" w:cstheme="minorHAnsi"/>
          <w:color w:val="111111"/>
          <w:spacing w:val="-6"/>
        </w:rPr>
        <w:t>na</w:t>
      </w:r>
      <w:r w:rsidRPr="00FF2452">
        <w:rPr>
          <w:rFonts w:asciiTheme="minorHAnsi" w:hAnsiTheme="minorHAnsi" w:cstheme="minorHAnsi"/>
          <w:color w:val="111111"/>
          <w:spacing w:val="-7"/>
        </w:rPr>
        <w:t xml:space="preserve"> </w:t>
      </w:r>
      <w:r w:rsidRPr="00FF2452">
        <w:rPr>
          <w:rFonts w:asciiTheme="minorHAnsi" w:hAnsiTheme="minorHAnsi" w:cstheme="minorHAnsi"/>
          <w:color w:val="111111"/>
          <w:spacing w:val="-6"/>
        </w:rPr>
        <w:t>području</w:t>
      </w:r>
      <w:r w:rsidRPr="00FF2452">
        <w:rPr>
          <w:rFonts w:asciiTheme="minorHAnsi" w:hAnsiTheme="minorHAnsi" w:cstheme="minorHAnsi"/>
          <w:color w:val="111111"/>
          <w:spacing w:val="-7"/>
        </w:rPr>
        <w:t xml:space="preserve"> </w:t>
      </w:r>
      <w:r w:rsidR="003D140A" w:rsidRPr="00FF2452">
        <w:rPr>
          <w:rFonts w:asciiTheme="minorHAnsi" w:hAnsiTheme="minorHAnsi" w:cstheme="minorHAnsi"/>
          <w:color w:val="111111"/>
          <w:spacing w:val="-6"/>
        </w:rPr>
        <w:t>Općine Sveti Lovreč i Općine Kanfanar,</w:t>
      </w:r>
      <w:r w:rsidRPr="00FF2452">
        <w:rPr>
          <w:rFonts w:asciiTheme="minorHAnsi" w:hAnsiTheme="minorHAnsi" w:cstheme="minorHAnsi"/>
          <w:color w:val="111111"/>
          <w:spacing w:val="-6"/>
        </w:rPr>
        <w:t xml:space="preserve"> </w:t>
      </w:r>
      <w:r w:rsidRPr="00FF2452">
        <w:rPr>
          <w:rFonts w:asciiTheme="minorHAnsi" w:hAnsiTheme="minorHAnsi" w:cstheme="minorHAnsi"/>
          <w:color w:val="111111"/>
        </w:rPr>
        <w:t>a</w:t>
      </w:r>
      <w:r w:rsidRPr="00FF2452">
        <w:rPr>
          <w:rFonts w:asciiTheme="minorHAnsi" w:hAnsiTheme="minorHAnsi" w:cstheme="minorHAnsi"/>
          <w:color w:val="111111"/>
          <w:spacing w:val="-12"/>
        </w:rPr>
        <w:t xml:space="preserve"> </w:t>
      </w:r>
      <w:r w:rsidRPr="00FF2452">
        <w:rPr>
          <w:rFonts w:asciiTheme="minorHAnsi" w:hAnsiTheme="minorHAnsi" w:cstheme="minorHAnsi"/>
          <w:color w:val="111111"/>
        </w:rPr>
        <w:t>koja</w:t>
      </w:r>
      <w:r w:rsidRPr="00FF2452">
        <w:rPr>
          <w:rFonts w:asciiTheme="minorHAnsi" w:hAnsiTheme="minorHAnsi" w:cstheme="minorHAnsi"/>
          <w:color w:val="111111"/>
          <w:spacing w:val="-13"/>
        </w:rPr>
        <w:t xml:space="preserve"> </w:t>
      </w:r>
      <w:r w:rsidRPr="00FF2452">
        <w:rPr>
          <w:rFonts w:asciiTheme="minorHAnsi" w:hAnsiTheme="minorHAnsi" w:cstheme="minorHAnsi"/>
          <w:color w:val="111111"/>
        </w:rPr>
        <w:t>ujedno</w:t>
      </w:r>
      <w:r w:rsidRPr="00FF2452">
        <w:rPr>
          <w:rFonts w:asciiTheme="minorHAnsi" w:hAnsiTheme="minorHAnsi" w:cstheme="minorHAnsi"/>
          <w:color w:val="111111"/>
          <w:spacing w:val="-5"/>
        </w:rPr>
        <w:t xml:space="preserve"> </w:t>
      </w:r>
      <w:r w:rsidRPr="00FF2452">
        <w:rPr>
          <w:rFonts w:asciiTheme="minorHAnsi" w:hAnsiTheme="minorHAnsi" w:cstheme="minorHAnsi"/>
          <w:color w:val="111111"/>
        </w:rPr>
        <w:t>čini</w:t>
      </w:r>
      <w:r w:rsidRPr="00FF2452">
        <w:rPr>
          <w:rFonts w:asciiTheme="minorHAnsi" w:hAnsiTheme="minorHAnsi" w:cstheme="minorHAnsi"/>
          <w:color w:val="111111"/>
          <w:spacing w:val="-4"/>
        </w:rPr>
        <w:t xml:space="preserve"> </w:t>
      </w:r>
      <w:r w:rsidRPr="00FF2452">
        <w:rPr>
          <w:rFonts w:asciiTheme="minorHAnsi" w:hAnsiTheme="minorHAnsi" w:cstheme="minorHAnsi"/>
          <w:color w:val="111111"/>
        </w:rPr>
        <w:t>i</w:t>
      </w:r>
      <w:r w:rsidRPr="00FF2452">
        <w:rPr>
          <w:rFonts w:asciiTheme="minorHAnsi" w:hAnsiTheme="minorHAnsi" w:cstheme="minorHAnsi"/>
          <w:color w:val="111111"/>
          <w:spacing w:val="-6"/>
        </w:rPr>
        <w:t xml:space="preserve"> </w:t>
      </w:r>
      <w:r w:rsidRPr="00FF2452">
        <w:rPr>
          <w:rFonts w:asciiTheme="minorHAnsi" w:hAnsiTheme="minorHAnsi" w:cstheme="minorHAnsi"/>
          <w:color w:val="111111"/>
        </w:rPr>
        <w:t>granicu</w:t>
      </w:r>
      <w:r w:rsidRPr="00FF2452">
        <w:rPr>
          <w:rFonts w:asciiTheme="minorHAnsi" w:hAnsiTheme="minorHAnsi" w:cstheme="minorHAnsi"/>
          <w:color w:val="111111"/>
          <w:spacing w:val="-7"/>
        </w:rPr>
        <w:t xml:space="preserve"> </w:t>
      </w:r>
      <w:r w:rsidRPr="00FF2452">
        <w:rPr>
          <w:rFonts w:asciiTheme="minorHAnsi" w:hAnsiTheme="minorHAnsi" w:cstheme="minorHAnsi"/>
          <w:color w:val="111111"/>
        </w:rPr>
        <w:t>izmedu</w:t>
      </w:r>
      <w:r w:rsidRPr="00FF2452">
        <w:rPr>
          <w:rFonts w:asciiTheme="minorHAnsi" w:hAnsiTheme="minorHAnsi" w:cstheme="minorHAnsi"/>
          <w:color w:val="111111"/>
          <w:spacing w:val="-5"/>
        </w:rPr>
        <w:t xml:space="preserve"> </w:t>
      </w:r>
      <w:r w:rsidR="003D140A" w:rsidRPr="00FF2452">
        <w:rPr>
          <w:rFonts w:asciiTheme="minorHAnsi" w:hAnsiTheme="minorHAnsi" w:cstheme="minorHAnsi"/>
          <w:color w:val="111111"/>
          <w:spacing w:val="-6"/>
        </w:rPr>
        <w:t>Općine Sveti Lovreč i Općine Kanfanar</w:t>
      </w:r>
      <w:r w:rsidR="003D140A" w:rsidRPr="00FF2452">
        <w:rPr>
          <w:rFonts w:asciiTheme="minorHAnsi" w:hAnsiTheme="minorHAnsi" w:cstheme="minorHAnsi"/>
          <w:color w:val="111111"/>
        </w:rPr>
        <w:t xml:space="preserve">, </w:t>
      </w:r>
      <w:r w:rsidRPr="00FF2452">
        <w:rPr>
          <w:rFonts w:asciiTheme="minorHAnsi" w:hAnsiTheme="minorHAnsi" w:cstheme="minorHAnsi"/>
          <w:color w:val="111111"/>
        </w:rPr>
        <w:t>kako</w:t>
      </w:r>
      <w:r w:rsidRPr="00FF2452">
        <w:rPr>
          <w:rFonts w:asciiTheme="minorHAnsi" w:hAnsiTheme="minorHAnsi" w:cstheme="minorHAnsi"/>
          <w:color w:val="111111"/>
          <w:spacing w:val="-2"/>
        </w:rPr>
        <w:t xml:space="preserve"> </w:t>
      </w:r>
      <w:r w:rsidRPr="00FF2452">
        <w:rPr>
          <w:rFonts w:asciiTheme="minorHAnsi" w:hAnsiTheme="minorHAnsi" w:cstheme="minorHAnsi"/>
          <w:color w:val="111111"/>
        </w:rPr>
        <w:t>je</w:t>
      </w:r>
      <w:r w:rsidRPr="00FF2452">
        <w:rPr>
          <w:rFonts w:asciiTheme="minorHAnsi" w:hAnsiTheme="minorHAnsi" w:cstheme="minorHAnsi"/>
          <w:color w:val="111111"/>
          <w:spacing w:val="-13"/>
        </w:rPr>
        <w:t xml:space="preserve"> </w:t>
      </w:r>
      <w:r w:rsidRPr="00FF2452">
        <w:rPr>
          <w:rFonts w:asciiTheme="minorHAnsi" w:hAnsiTheme="minorHAnsi" w:cstheme="minorHAnsi"/>
          <w:color w:val="111111"/>
        </w:rPr>
        <w:t>to</w:t>
      </w:r>
      <w:r w:rsidRPr="00FF2452">
        <w:rPr>
          <w:rFonts w:asciiTheme="minorHAnsi" w:hAnsiTheme="minorHAnsi" w:cstheme="minorHAnsi"/>
          <w:color w:val="111111"/>
          <w:spacing w:val="-12"/>
        </w:rPr>
        <w:t xml:space="preserve"> </w:t>
      </w:r>
      <w:r w:rsidRPr="00FF2452">
        <w:rPr>
          <w:rFonts w:asciiTheme="minorHAnsi" w:hAnsiTheme="minorHAnsi" w:cstheme="minorHAnsi"/>
          <w:color w:val="111111"/>
        </w:rPr>
        <w:t>prikazano na</w:t>
      </w:r>
      <w:r w:rsidRPr="00FF2452">
        <w:rPr>
          <w:rFonts w:asciiTheme="minorHAnsi" w:hAnsiTheme="minorHAnsi" w:cstheme="minorHAnsi"/>
          <w:color w:val="111111"/>
          <w:spacing w:val="-6"/>
        </w:rPr>
        <w:t xml:space="preserve"> </w:t>
      </w:r>
      <w:r w:rsidRPr="00FF2452">
        <w:rPr>
          <w:rFonts w:asciiTheme="minorHAnsi" w:hAnsiTheme="minorHAnsi" w:cstheme="minorHAnsi"/>
          <w:color w:val="111111"/>
        </w:rPr>
        <w:t>službenoj podlozi iz registra prostornih jedinica.</w:t>
      </w:r>
    </w:p>
    <w:p w14:paraId="0051E3E4" w14:textId="77777777" w:rsidR="002131A7" w:rsidRDefault="00000000">
      <w:pPr>
        <w:pStyle w:val="Tijeloteksta"/>
        <w:spacing w:before="271" w:line="274" w:lineRule="exact"/>
        <w:ind w:left="4198"/>
      </w:pPr>
      <w:r>
        <w:rPr>
          <w:color w:val="111111"/>
          <w:spacing w:val="-4"/>
        </w:rPr>
        <w:t xml:space="preserve">Članak </w:t>
      </w:r>
      <w:r>
        <w:rPr>
          <w:color w:val="111111"/>
          <w:spacing w:val="-5"/>
        </w:rPr>
        <w:t>2.</w:t>
      </w:r>
    </w:p>
    <w:p w14:paraId="60A04245" w14:textId="53D40BCC" w:rsidR="002131A7" w:rsidRDefault="00000000">
      <w:pPr>
        <w:pStyle w:val="Tijeloteksta"/>
        <w:spacing w:before="2" w:line="230" w:lineRule="auto"/>
        <w:ind w:left="97" w:right="30" w:hanging="3"/>
      </w:pPr>
      <w:r>
        <w:rPr>
          <w:color w:val="111111"/>
          <w:spacing w:val="-4"/>
        </w:rPr>
        <w:t>Prijedlog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4"/>
        </w:rPr>
        <w:t>Odluke</w:t>
      </w:r>
      <w:r>
        <w:rPr>
          <w:color w:val="111111"/>
          <w:spacing w:val="-9"/>
        </w:rPr>
        <w:t xml:space="preserve"> </w:t>
      </w:r>
      <w:r>
        <w:rPr>
          <w:color w:val="111111"/>
          <w:spacing w:val="-4"/>
        </w:rPr>
        <w:t>o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4"/>
        </w:rPr>
        <w:t>promjeni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4"/>
        </w:rPr>
        <w:t>granica izmedu</w:t>
      </w:r>
      <w:r>
        <w:rPr>
          <w:color w:val="111111"/>
          <w:spacing w:val="-8"/>
        </w:rPr>
        <w:t xml:space="preserve"> </w:t>
      </w:r>
      <w:r w:rsidR="003D140A">
        <w:rPr>
          <w:color w:val="111111"/>
          <w:spacing w:val="-6"/>
        </w:rPr>
        <w:t>Općine Sveti Lovreč i Općine Kanfanar</w:t>
      </w:r>
      <w:r w:rsidR="003D140A">
        <w:rPr>
          <w:color w:val="111111"/>
          <w:spacing w:val="-4"/>
        </w:rPr>
        <w:t xml:space="preserve"> </w:t>
      </w:r>
      <w:r>
        <w:rPr>
          <w:color w:val="111111"/>
          <w:spacing w:val="-4"/>
        </w:rPr>
        <w:t>iz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4"/>
        </w:rPr>
        <w:t>članka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4"/>
        </w:rPr>
        <w:t>1.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4"/>
        </w:rPr>
        <w:t>ove Suglasnosti</w:t>
      </w:r>
      <w:r>
        <w:rPr>
          <w:color w:val="111111"/>
          <w:spacing w:val="8"/>
        </w:rPr>
        <w:t xml:space="preserve"> </w:t>
      </w:r>
      <w:r>
        <w:rPr>
          <w:color w:val="111111"/>
          <w:spacing w:val="-4"/>
        </w:rPr>
        <w:t xml:space="preserve">i </w:t>
      </w:r>
      <w:r>
        <w:rPr>
          <w:color w:val="111111"/>
        </w:rPr>
        <w:t>službena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podloga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iz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registra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prostornih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jedinica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iz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članka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1.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ove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Suglasnosti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nalaze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u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privitku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ove Suglasnosti i čine njezin sastavni dio.</w:t>
      </w:r>
    </w:p>
    <w:p w14:paraId="7F1B43DB" w14:textId="77777777" w:rsidR="002131A7" w:rsidRDefault="00000000">
      <w:pPr>
        <w:pStyle w:val="Tijeloteksta"/>
        <w:spacing w:before="260" w:line="272" w:lineRule="exact"/>
        <w:ind w:left="4208"/>
      </w:pPr>
      <w:r>
        <w:rPr>
          <w:color w:val="111111"/>
          <w:spacing w:val="-4"/>
        </w:rPr>
        <w:t xml:space="preserve">Članak </w:t>
      </w:r>
      <w:r>
        <w:rPr>
          <w:color w:val="111111"/>
          <w:spacing w:val="-5"/>
        </w:rPr>
        <w:t>3.</w:t>
      </w:r>
    </w:p>
    <w:p w14:paraId="54071B46" w14:textId="302FD688" w:rsidR="002131A7" w:rsidRDefault="00000000">
      <w:pPr>
        <w:pStyle w:val="Tijeloteksta"/>
        <w:spacing w:line="230" w:lineRule="auto"/>
        <w:ind w:left="99" w:right="49" w:hanging="3"/>
      </w:pPr>
      <w:r>
        <w:rPr>
          <w:color w:val="111111"/>
        </w:rPr>
        <w:t>Ova Suglasnost daje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za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potrebe ishodenja prethodnog mišljenja Zavoda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za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prostorno uredenje Istarske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županije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prijedlog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Odluke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promjeni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granice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izmedu</w:t>
      </w:r>
      <w:r>
        <w:rPr>
          <w:color w:val="111111"/>
          <w:spacing w:val="-17"/>
        </w:rPr>
        <w:t xml:space="preserve"> </w:t>
      </w:r>
      <w:r w:rsidR="003D140A">
        <w:rPr>
          <w:color w:val="111111"/>
          <w:spacing w:val="-6"/>
        </w:rPr>
        <w:t>Općine Sveti Lovreč i Općine Kanfanar.</w:t>
      </w:r>
    </w:p>
    <w:p w14:paraId="2FAE29DE" w14:textId="77777777" w:rsidR="002131A7" w:rsidRDefault="002131A7">
      <w:pPr>
        <w:pStyle w:val="Tijeloteksta"/>
        <w:spacing w:before="237"/>
        <w:jc w:val="left"/>
      </w:pPr>
    </w:p>
    <w:p w14:paraId="4788F088" w14:textId="3079C178" w:rsidR="002131A7" w:rsidRDefault="00000000">
      <w:pPr>
        <w:spacing w:before="1" w:line="275" w:lineRule="exact"/>
        <w:ind w:left="99"/>
        <w:rPr>
          <w:sz w:val="23"/>
        </w:rPr>
      </w:pPr>
      <w:r>
        <w:rPr>
          <w:color w:val="111111"/>
          <w:spacing w:val="-2"/>
          <w:sz w:val="23"/>
        </w:rPr>
        <w:t>KLASA:</w:t>
      </w:r>
      <w:r w:rsidR="003D140A">
        <w:rPr>
          <w:color w:val="111111"/>
          <w:spacing w:val="-2"/>
          <w:sz w:val="23"/>
        </w:rPr>
        <w:t xml:space="preserve"> 350-01/26-02/</w:t>
      </w:r>
      <w:r w:rsidR="00FF2452">
        <w:rPr>
          <w:color w:val="111111"/>
          <w:spacing w:val="-2"/>
          <w:sz w:val="23"/>
        </w:rPr>
        <w:t>22</w:t>
      </w:r>
    </w:p>
    <w:p w14:paraId="6B8064CD" w14:textId="549FF7A0" w:rsidR="002131A7" w:rsidRDefault="00000000">
      <w:pPr>
        <w:spacing w:line="275" w:lineRule="exact"/>
        <w:ind w:left="99"/>
        <w:rPr>
          <w:sz w:val="23"/>
        </w:rPr>
      </w:pPr>
      <w:r>
        <w:rPr>
          <w:color w:val="111111"/>
          <w:spacing w:val="-2"/>
          <w:sz w:val="23"/>
        </w:rPr>
        <w:t>URBROJ:</w:t>
      </w:r>
      <w:r w:rsidR="003D140A">
        <w:rPr>
          <w:color w:val="111111"/>
          <w:spacing w:val="-2"/>
          <w:sz w:val="23"/>
        </w:rPr>
        <w:t xml:space="preserve"> 2163-33-03-26-1</w:t>
      </w:r>
    </w:p>
    <w:p w14:paraId="37A7ECAE" w14:textId="77777777" w:rsidR="002131A7" w:rsidRDefault="002131A7">
      <w:pPr>
        <w:pStyle w:val="Tijeloteksta"/>
        <w:spacing w:before="247"/>
        <w:jc w:val="left"/>
      </w:pPr>
    </w:p>
    <w:p w14:paraId="402FB1BE" w14:textId="77777777" w:rsidR="002131A7" w:rsidRDefault="00000000">
      <w:pPr>
        <w:spacing w:line="277" w:lineRule="exact"/>
        <w:ind w:right="33"/>
        <w:jc w:val="right"/>
        <w:rPr>
          <w:sz w:val="23"/>
        </w:rPr>
      </w:pPr>
      <w:r>
        <w:rPr>
          <w:color w:val="111111"/>
          <w:spacing w:val="-7"/>
          <w:sz w:val="23"/>
        </w:rPr>
        <w:t>OPĆINSKI</w:t>
      </w:r>
      <w:r>
        <w:rPr>
          <w:color w:val="111111"/>
          <w:spacing w:val="-1"/>
          <w:sz w:val="23"/>
        </w:rPr>
        <w:t xml:space="preserve"> </w:t>
      </w:r>
      <w:r>
        <w:rPr>
          <w:color w:val="111111"/>
          <w:spacing w:val="-2"/>
          <w:sz w:val="23"/>
        </w:rPr>
        <w:t>NAČELNIK</w:t>
      </w:r>
    </w:p>
    <w:p w14:paraId="00C29A66" w14:textId="0250CD3D" w:rsidR="002131A7" w:rsidRDefault="003D140A">
      <w:pPr>
        <w:pStyle w:val="Tijeloteksta"/>
        <w:spacing w:line="277" w:lineRule="exact"/>
        <w:ind w:right="24"/>
        <w:jc w:val="right"/>
      </w:pPr>
      <w:r>
        <w:rPr>
          <w:color w:val="111111"/>
          <w:spacing w:val="-5"/>
        </w:rPr>
        <w:t>Siniša Terlević</w:t>
      </w:r>
    </w:p>
    <w:sectPr w:rsidR="002131A7">
      <w:type w:val="continuous"/>
      <w:pgSz w:w="11910" w:h="16840"/>
      <w:pgMar w:top="132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A7"/>
    <w:rsid w:val="00060CEB"/>
    <w:rsid w:val="002131A7"/>
    <w:rsid w:val="00254586"/>
    <w:rsid w:val="00376E49"/>
    <w:rsid w:val="003D140A"/>
    <w:rsid w:val="00F51E85"/>
    <w:rsid w:val="00FF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1F66"/>
  <w15:docId w15:val="{D129138C-997B-46DE-8480-5CB20861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jc w:val="both"/>
    </w:pPr>
    <w:rPr>
      <w:sz w:val="23"/>
      <w:szCs w:val="23"/>
    </w:rPr>
  </w:style>
  <w:style w:type="paragraph" w:styleId="Naslov">
    <w:name w:val="Title"/>
    <w:basedOn w:val="Normal"/>
    <w:uiPriority w:val="10"/>
    <w:qFormat/>
    <w:pPr>
      <w:spacing w:line="277" w:lineRule="exact"/>
      <w:ind w:right="39"/>
      <w:jc w:val="center"/>
    </w:pPr>
    <w:rPr>
      <w:b/>
      <w:bCs/>
      <w:sz w:val="23"/>
      <w:szCs w:val="23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Suglasnost - skica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Suglasnost - skica</dc:title>
  <dc:creator>Eli MiÅ¡an</dc:creator>
  <cp:lastModifiedBy>Pročelnik</cp:lastModifiedBy>
  <cp:revision>2</cp:revision>
  <dcterms:created xsi:type="dcterms:W3CDTF">2026-05-04T08:20:00Z</dcterms:created>
  <dcterms:modified xsi:type="dcterms:W3CDTF">2026-05-04T08:20:00Z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Microsoft: Print To PDF</vt:lpwstr>
  </property>
</Properties>
</file>