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17C5" w14:textId="35FAC93E" w:rsidR="009B03DC" w:rsidRDefault="001C2F3B" w:rsidP="001C2F3B">
      <w:pPr>
        <w:spacing w:after="0" w:line="240" w:lineRule="auto"/>
        <w:jc w:val="both"/>
        <w:rPr>
          <w:rFonts w:ascii="Arial" w:hAnsi="Arial" w:cs="Arial"/>
          <w:sz w:val="24"/>
          <w:szCs w:val="24"/>
        </w:rPr>
      </w:pPr>
      <w:r w:rsidRPr="001C2F3B">
        <w:rPr>
          <w:rFonts w:ascii="Arial" w:hAnsi="Arial" w:cs="Arial"/>
          <w:sz w:val="24"/>
          <w:szCs w:val="24"/>
        </w:rPr>
        <w:t xml:space="preserve">Na temelju članka 35. Zakona o lokalnoj i područnoj (regionalnoj) samoupravi (Narodne novine, broj 33/01, 60/01, 129/05, 109/07, 125/08, 36/09, 36/09, 150/11, 144/12, 19/13, 137/15, 123/17, 98/19 i 144/20) i članka 32. Statuta Općine Podgora (Glasnik, službeno glasilo Općine Podgora, broj </w:t>
      </w:r>
      <w:r w:rsidRPr="001C2F3B">
        <w:rPr>
          <w:rFonts w:ascii="Arial" w:hAnsi="Arial" w:cs="Arial"/>
          <w:sz w:val="24"/>
          <w:szCs w:val="24"/>
        </w:rPr>
        <w:t>5/09, 9/09, 3/13, 3/15, 4/18, 5/20-pročišćeni tekst, 14/20, 4/21 i  22/23)</w:t>
      </w:r>
      <w:r>
        <w:rPr>
          <w:rFonts w:ascii="Arial" w:hAnsi="Arial" w:cs="Arial"/>
          <w:sz w:val="24"/>
          <w:szCs w:val="24"/>
        </w:rPr>
        <w:t xml:space="preserve"> Općinsko vijeće Općine Podgora na svojoj __ sjednici održanoj dana _____ 2024. godine sljedeću</w:t>
      </w:r>
    </w:p>
    <w:p w14:paraId="3B1842F7" w14:textId="77777777" w:rsidR="001C2F3B" w:rsidRDefault="001C2F3B" w:rsidP="001C2F3B">
      <w:pPr>
        <w:spacing w:after="0" w:line="240" w:lineRule="auto"/>
        <w:jc w:val="both"/>
        <w:rPr>
          <w:rFonts w:ascii="Arial" w:hAnsi="Arial" w:cs="Arial"/>
          <w:sz w:val="24"/>
          <w:szCs w:val="24"/>
        </w:rPr>
      </w:pPr>
    </w:p>
    <w:p w14:paraId="705807C2" w14:textId="0EFE1959" w:rsidR="001C2F3B" w:rsidRDefault="001C2F3B" w:rsidP="001C2F3B">
      <w:pPr>
        <w:spacing w:after="0" w:line="240" w:lineRule="auto"/>
        <w:jc w:val="center"/>
        <w:rPr>
          <w:rFonts w:ascii="Arial" w:hAnsi="Arial" w:cs="Arial"/>
          <w:sz w:val="24"/>
          <w:szCs w:val="24"/>
        </w:rPr>
      </w:pPr>
      <w:r>
        <w:rPr>
          <w:rFonts w:ascii="Arial" w:hAnsi="Arial" w:cs="Arial"/>
          <w:sz w:val="24"/>
          <w:szCs w:val="24"/>
        </w:rPr>
        <w:t xml:space="preserve">O D L U K U </w:t>
      </w:r>
    </w:p>
    <w:p w14:paraId="1B656AF0" w14:textId="21BC33F6" w:rsidR="001C2F3B" w:rsidRPr="001C2F3B" w:rsidRDefault="001C2F3B" w:rsidP="001C2F3B">
      <w:pPr>
        <w:spacing w:after="0" w:line="240" w:lineRule="auto"/>
        <w:jc w:val="center"/>
        <w:rPr>
          <w:rFonts w:ascii="Arial" w:hAnsi="Arial" w:cs="Arial"/>
          <w:sz w:val="24"/>
          <w:szCs w:val="24"/>
        </w:rPr>
      </w:pPr>
      <w:r>
        <w:rPr>
          <w:rFonts w:ascii="Arial" w:hAnsi="Arial" w:cs="Arial"/>
          <w:sz w:val="24"/>
          <w:szCs w:val="24"/>
        </w:rPr>
        <w:t xml:space="preserve">o prihvaćanju </w:t>
      </w:r>
      <w:r w:rsidR="00B4445F">
        <w:rPr>
          <w:rFonts w:ascii="Arial" w:hAnsi="Arial" w:cs="Arial"/>
          <w:sz w:val="24"/>
          <w:szCs w:val="24"/>
        </w:rPr>
        <w:t xml:space="preserve">i usvajanju </w:t>
      </w:r>
      <w:r>
        <w:rPr>
          <w:rFonts w:ascii="Arial" w:hAnsi="Arial" w:cs="Arial"/>
          <w:sz w:val="24"/>
          <w:szCs w:val="24"/>
        </w:rPr>
        <w:t xml:space="preserve">„Zajedničkog akcijskog plana </w:t>
      </w:r>
      <w:r w:rsidRPr="001C2F3B">
        <w:rPr>
          <w:rFonts w:ascii="Arial" w:hAnsi="Arial" w:cs="Arial"/>
          <w:sz w:val="24"/>
          <w:szCs w:val="24"/>
        </w:rPr>
        <w:t>energetski održivog razvitka i prilagodbe klimatskim</w:t>
      </w:r>
      <w:r>
        <w:rPr>
          <w:rFonts w:ascii="Arial" w:hAnsi="Arial" w:cs="Arial"/>
          <w:sz w:val="24"/>
          <w:szCs w:val="24"/>
        </w:rPr>
        <w:t xml:space="preserve"> </w:t>
      </w:r>
      <w:r w:rsidRPr="001C2F3B">
        <w:rPr>
          <w:rFonts w:ascii="Arial" w:hAnsi="Arial" w:cs="Arial"/>
          <w:sz w:val="24"/>
          <w:szCs w:val="24"/>
        </w:rPr>
        <w:t>promjenama za Općinu Gradac i Općinu Podgora</w:t>
      </w:r>
    </w:p>
    <w:p w14:paraId="54724DF1" w14:textId="7452702C" w:rsidR="001C2F3B" w:rsidRDefault="001C2F3B" w:rsidP="001C2F3B">
      <w:pPr>
        <w:spacing w:after="0" w:line="240" w:lineRule="auto"/>
        <w:jc w:val="center"/>
        <w:rPr>
          <w:rFonts w:ascii="Arial" w:hAnsi="Arial" w:cs="Arial"/>
          <w:sz w:val="24"/>
          <w:szCs w:val="24"/>
        </w:rPr>
      </w:pPr>
      <w:r w:rsidRPr="001C2F3B">
        <w:rPr>
          <w:rFonts w:ascii="Arial" w:hAnsi="Arial" w:cs="Arial"/>
          <w:sz w:val="24"/>
          <w:szCs w:val="24"/>
        </w:rPr>
        <w:t>(Joint SECAP)</w:t>
      </w:r>
      <w:r>
        <w:rPr>
          <w:rFonts w:ascii="Arial" w:hAnsi="Arial" w:cs="Arial"/>
          <w:sz w:val="24"/>
          <w:szCs w:val="24"/>
        </w:rPr>
        <w:t>“ za Općinu Podgora</w:t>
      </w:r>
    </w:p>
    <w:p w14:paraId="193DC16E" w14:textId="77777777" w:rsidR="001C2F3B" w:rsidRDefault="001C2F3B" w:rsidP="001C2F3B">
      <w:pPr>
        <w:spacing w:after="0" w:line="240" w:lineRule="auto"/>
        <w:jc w:val="center"/>
        <w:rPr>
          <w:rFonts w:ascii="Arial" w:hAnsi="Arial" w:cs="Arial"/>
          <w:sz w:val="24"/>
          <w:szCs w:val="24"/>
        </w:rPr>
      </w:pPr>
    </w:p>
    <w:p w14:paraId="3562AB8E" w14:textId="77777777" w:rsidR="001C2F3B" w:rsidRDefault="001C2F3B" w:rsidP="001C2F3B">
      <w:pPr>
        <w:spacing w:after="0" w:line="240" w:lineRule="auto"/>
        <w:jc w:val="center"/>
        <w:rPr>
          <w:rFonts w:ascii="Arial" w:hAnsi="Arial" w:cs="Arial"/>
          <w:sz w:val="24"/>
          <w:szCs w:val="24"/>
        </w:rPr>
      </w:pPr>
    </w:p>
    <w:p w14:paraId="5BDECCC6" w14:textId="042E5AC4" w:rsidR="001C2F3B" w:rsidRDefault="001C2F3B" w:rsidP="001C2F3B">
      <w:pPr>
        <w:spacing w:after="0" w:line="240" w:lineRule="auto"/>
        <w:jc w:val="center"/>
        <w:rPr>
          <w:rFonts w:ascii="Arial" w:hAnsi="Arial" w:cs="Arial"/>
          <w:sz w:val="24"/>
          <w:szCs w:val="24"/>
        </w:rPr>
      </w:pPr>
      <w:r>
        <w:rPr>
          <w:rFonts w:ascii="Arial" w:hAnsi="Arial" w:cs="Arial"/>
          <w:sz w:val="24"/>
          <w:szCs w:val="24"/>
        </w:rPr>
        <w:t>Članak 1.</w:t>
      </w:r>
    </w:p>
    <w:p w14:paraId="63DE62BD" w14:textId="5E37B0AB" w:rsidR="001C2F3B" w:rsidRDefault="001C2F3B" w:rsidP="001C2F3B">
      <w:pPr>
        <w:spacing w:after="0" w:line="240" w:lineRule="auto"/>
        <w:jc w:val="both"/>
        <w:rPr>
          <w:rFonts w:ascii="Arial" w:hAnsi="Arial" w:cs="Arial"/>
          <w:sz w:val="24"/>
          <w:szCs w:val="24"/>
        </w:rPr>
      </w:pPr>
    </w:p>
    <w:p w14:paraId="563AF5F0" w14:textId="76A04BDE" w:rsidR="001C2F3B" w:rsidRDefault="001C2F3B" w:rsidP="001C2F3B">
      <w:pPr>
        <w:spacing w:after="0" w:line="240" w:lineRule="auto"/>
        <w:jc w:val="both"/>
        <w:rPr>
          <w:rFonts w:ascii="Arial" w:hAnsi="Arial" w:cs="Arial"/>
          <w:sz w:val="24"/>
          <w:szCs w:val="24"/>
        </w:rPr>
      </w:pPr>
      <w:r>
        <w:rPr>
          <w:rFonts w:ascii="Arial" w:hAnsi="Arial" w:cs="Arial"/>
          <w:sz w:val="24"/>
          <w:szCs w:val="24"/>
        </w:rPr>
        <w:t>Općinsko vijeće Općine Podgora razmatralo je „</w:t>
      </w:r>
      <w:r>
        <w:rPr>
          <w:rFonts w:ascii="Arial" w:hAnsi="Arial" w:cs="Arial"/>
          <w:sz w:val="24"/>
          <w:szCs w:val="24"/>
        </w:rPr>
        <w:t>Zajedničk</w:t>
      </w:r>
      <w:r>
        <w:rPr>
          <w:rFonts w:ascii="Arial" w:hAnsi="Arial" w:cs="Arial"/>
          <w:sz w:val="24"/>
          <w:szCs w:val="24"/>
        </w:rPr>
        <w:t>i</w:t>
      </w:r>
      <w:r>
        <w:rPr>
          <w:rFonts w:ascii="Arial" w:hAnsi="Arial" w:cs="Arial"/>
          <w:sz w:val="24"/>
          <w:szCs w:val="24"/>
        </w:rPr>
        <w:t xml:space="preserve"> akcijsk</w:t>
      </w:r>
      <w:r>
        <w:rPr>
          <w:rFonts w:ascii="Arial" w:hAnsi="Arial" w:cs="Arial"/>
          <w:sz w:val="24"/>
          <w:szCs w:val="24"/>
        </w:rPr>
        <w:t>i</w:t>
      </w:r>
      <w:r>
        <w:rPr>
          <w:rFonts w:ascii="Arial" w:hAnsi="Arial" w:cs="Arial"/>
          <w:sz w:val="24"/>
          <w:szCs w:val="24"/>
        </w:rPr>
        <w:t xml:space="preserve"> plan </w:t>
      </w:r>
      <w:r w:rsidRPr="001C2F3B">
        <w:rPr>
          <w:rFonts w:ascii="Arial" w:hAnsi="Arial" w:cs="Arial"/>
          <w:sz w:val="24"/>
          <w:szCs w:val="24"/>
        </w:rPr>
        <w:t>energetski održivog razvitka i prilagodbe klimatskim</w:t>
      </w:r>
      <w:r>
        <w:rPr>
          <w:rFonts w:ascii="Arial" w:hAnsi="Arial" w:cs="Arial"/>
          <w:sz w:val="24"/>
          <w:szCs w:val="24"/>
        </w:rPr>
        <w:t xml:space="preserve"> </w:t>
      </w:r>
      <w:r w:rsidRPr="001C2F3B">
        <w:rPr>
          <w:rFonts w:ascii="Arial" w:hAnsi="Arial" w:cs="Arial"/>
          <w:sz w:val="24"/>
          <w:szCs w:val="24"/>
        </w:rPr>
        <w:t>promjenama za Općinu Gradac i Općinu Podgora</w:t>
      </w:r>
      <w:r>
        <w:rPr>
          <w:rFonts w:ascii="Arial" w:hAnsi="Arial" w:cs="Arial"/>
          <w:sz w:val="24"/>
          <w:szCs w:val="24"/>
        </w:rPr>
        <w:t xml:space="preserve"> </w:t>
      </w:r>
      <w:r w:rsidRPr="001C2F3B">
        <w:rPr>
          <w:rFonts w:ascii="Arial" w:hAnsi="Arial" w:cs="Arial"/>
          <w:sz w:val="24"/>
          <w:szCs w:val="24"/>
        </w:rPr>
        <w:t>(Joint SECAP)</w:t>
      </w:r>
      <w:r>
        <w:rPr>
          <w:rFonts w:ascii="Arial" w:hAnsi="Arial" w:cs="Arial"/>
          <w:sz w:val="24"/>
          <w:szCs w:val="24"/>
        </w:rPr>
        <w:t>“ za Općinu Podgora</w:t>
      </w:r>
      <w:r w:rsidR="00680C7E">
        <w:rPr>
          <w:rFonts w:ascii="Arial" w:hAnsi="Arial" w:cs="Arial"/>
          <w:sz w:val="24"/>
          <w:szCs w:val="24"/>
        </w:rPr>
        <w:t xml:space="preserve">. </w:t>
      </w:r>
    </w:p>
    <w:p w14:paraId="48C41A26" w14:textId="77777777" w:rsidR="00680C7E" w:rsidRDefault="00680C7E" w:rsidP="001C2F3B">
      <w:pPr>
        <w:spacing w:after="0" w:line="240" w:lineRule="auto"/>
        <w:jc w:val="both"/>
        <w:rPr>
          <w:rFonts w:ascii="Arial" w:hAnsi="Arial" w:cs="Arial"/>
          <w:sz w:val="24"/>
          <w:szCs w:val="24"/>
        </w:rPr>
      </w:pPr>
    </w:p>
    <w:p w14:paraId="02915EE4" w14:textId="7A0BC130" w:rsidR="00680C7E" w:rsidRDefault="00680C7E" w:rsidP="001C2F3B">
      <w:pPr>
        <w:spacing w:after="0" w:line="240" w:lineRule="auto"/>
        <w:jc w:val="both"/>
        <w:rPr>
          <w:rFonts w:ascii="Arial" w:hAnsi="Arial" w:cs="Arial"/>
          <w:sz w:val="24"/>
          <w:szCs w:val="24"/>
        </w:rPr>
      </w:pPr>
      <w:r>
        <w:rPr>
          <w:rFonts w:ascii="Arial" w:hAnsi="Arial" w:cs="Arial"/>
          <w:sz w:val="24"/>
          <w:szCs w:val="24"/>
        </w:rPr>
        <w:t>Zajednički akcijski plan iz prethodnog stavka izrađen je u suradnji s trgovačkim društvom Hudec Plan d.o.o. iz Zagreba, Vlade Gotovca 4.</w:t>
      </w:r>
    </w:p>
    <w:p w14:paraId="56A69C5B" w14:textId="77777777" w:rsidR="00680C7E" w:rsidRDefault="00680C7E" w:rsidP="001C2F3B">
      <w:pPr>
        <w:spacing w:after="0" w:line="240" w:lineRule="auto"/>
        <w:jc w:val="both"/>
        <w:rPr>
          <w:rFonts w:ascii="Arial" w:hAnsi="Arial" w:cs="Arial"/>
          <w:sz w:val="24"/>
          <w:szCs w:val="24"/>
        </w:rPr>
      </w:pPr>
    </w:p>
    <w:p w14:paraId="5420E3F6" w14:textId="77777777" w:rsidR="00680C7E" w:rsidRDefault="00680C7E" w:rsidP="001C2F3B">
      <w:pPr>
        <w:spacing w:after="0" w:line="240" w:lineRule="auto"/>
        <w:jc w:val="both"/>
        <w:rPr>
          <w:rFonts w:ascii="Arial" w:hAnsi="Arial" w:cs="Arial"/>
          <w:sz w:val="24"/>
          <w:szCs w:val="24"/>
        </w:rPr>
      </w:pPr>
    </w:p>
    <w:p w14:paraId="11F65F10" w14:textId="6D9A0283" w:rsidR="00680C7E" w:rsidRDefault="00680C7E" w:rsidP="00680C7E">
      <w:pPr>
        <w:spacing w:after="0" w:line="240" w:lineRule="auto"/>
        <w:jc w:val="center"/>
        <w:rPr>
          <w:rFonts w:ascii="Arial" w:hAnsi="Arial" w:cs="Arial"/>
          <w:sz w:val="24"/>
          <w:szCs w:val="24"/>
        </w:rPr>
      </w:pPr>
      <w:r>
        <w:rPr>
          <w:rFonts w:ascii="Arial" w:hAnsi="Arial" w:cs="Arial"/>
          <w:sz w:val="24"/>
          <w:szCs w:val="24"/>
        </w:rPr>
        <w:t xml:space="preserve">Članak 2. </w:t>
      </w:r>
    </w:p>
    <w:p w14:paraId="0BBBFECE" w14:textId="77777777" w:rsidR="00680C7E" w:rsidRDefault="00680C7E" w:rsidP="00680C7E">
      <w:pPr>
        <w:spacing w:after="0" w:line="240" w:lineRule="auto"/>
        <w:jc w:val="center"/>
        <w:rPr>
          <w:rFonts w:ascii="Arial" w:hAnsi="Arial" w:cs="Arial"/>
          <w:sz w:val="24"/>
          <w:szCs w:val="24"/>
        </w:rPr>
      </w:pPr>
    </w:p>
    <w:p w14:paraId="779645C1" w14:textId="49EC69E7" w:rsidR="00680C7E" w:rsidRDefault="00680C7E" w:rsidP="00680C7E">
      <w:pPr>
        <w:spacing w:after="0" w:line="240" w:lineRule="auto"/>
        <w:jc w:val="both"/>
        <w:rPr>
          <w:rFonts w:ascii="Arial" w:hAnsi="Arial" w:cs="Arial"/>
          <w:sz w:val="24"/>
          <w:szCs w:val="24"/>
        </w:rPr>
      </w:pPr>
      <w:r>
        <w:rPr>
          <w:rFonts w:ascii="Arial" w:hAnsi="Arial" w:cs="Arial"/>
          <w:sz w:val="24"/>
          <w:szCs w:val="24"/>
        </w:rPr>
        <w:t xml:space="preserve">Općinsko vijeće Općine Podgora prihvaća </w:t>
      </w:r>
      <w:r w:rsidR="00B4445F">
        <w:rPr>
          <w:rFonts w:ascii="Arial" w:hAnsi="Arial" w:cs="Arial"/>
          <w:sz w:val="24"/>
          <w:szCs w:val="24"/>
        </w:rPr>
        <w:t xml:space="preserve">i usvaja </w:t>
      </w:r>
      <w:r>
        <w:rPr>
          <w:rFonts w:ascii="Arial" w:hAnsi="Arial" w:cs="Arial"/>
          <w:sz w:val="24"/>
          <w:szCs w:val="24"/>
        </w:rPr>
        <w:t xml:space="preserve">„Zajednički akcijski plan </w:t>
      </w:r>
      <w:r w:rsidRPr="001C2F3B">
        <w:rPr>
          <w:rFonts w:ascii="Arial" w:hAnsi="Arial" w:cs="Arial"/>
          <w:sz w:val="24"/>
          <w:szCs w:val="24"/>
        </w:rPr>
        <w:t>energetski održivog razvitka i prilagodbe klimatskim</w:t>
      </w:r>
      <w:r>
        <w:rPr>
          <w:rFonts w:ascii="Arial" w:hAnsi="Arial" w:cs="Arial"/>
          <w:sz w:val="24"/>
          <w:szCs w:val="24"/>
        </w:rPr>
        <w:t xml:space="preserve"> </w:t>
      </w:r>
      <w:r w:rsidRPr="001C2F3B">
        <w:rPr>
          <w:rFonts w:ascii="Arial" w:hAnsi="Arial" w:cs="Arial"/>
          <w:sz w:val="24"/>
          <w:szCs w:val="24"/>
        </w:rPr>
        <w:t>promjenama za Općinu Gradac i Općinu Podgora</w:t>
      </w:r>
      <w:r>
        <w:rPr>
          <w:rFonts w:ascii="Arial" w:hAnsi="Arial" w:cs="Arial"/>
          <w:sz w:val="24"/>
          <w:szCs w:val="24"/>
        </w:rPr>
        <w:t xml:space="preserve"> </w:t>
      </w:r>
      <w:r w:rsidRPr="001C2F3B">
        <w:rPr>
          <w:rFonts w:ascii="Arial" w:hAnsi="Arial" w:cs="Arial"/>
          <w:sz w:val="24"/>
          <w:szCs w:val="24"/>
        </w:rPr>
        <w:t>(Joint SECAP)</w:t>
      </w:r>
      <w:r>
        <w:rPr>
          <w:rFonts w:ascii="Arial" w:hAnsi="Arial" w:cs="Arial"/>
          <w:sz w:val="24"/>
          <w:szCs w:val="24"/>
        </w:rPr>
        <w:t>“</w:t>
      </w:r>
      <w:r>
        <w:rPr>
          <w:rFonts w:ascii="Arial" w:hAnsi="Arial" w:cs="Arial"/>
          <w:sz w:val="24"/>
          <w:szCs w:val="24"/>
        </w:rPr>
        <w:t xml:space="preserve">. </w:t>
      </w:r>
    </w:p>
    <w:p w14:paraId="1717E042" w14:textId="77777777" w:rsidR="00680C7E" w:rsidRDefault="00680C7E" w:rsidP="00680C7E">
      <w:pPr>
        <w:spacing w:after="0" w:line="240" w:lineRule="auto"/>
        <w:jc w:val="both"/>
        <w:rPr>
          <w:rFonts w:ascii="Arial" w:hAnsi="Arial" w:cs="Arial"/>
          <w:sz w:val="24"/>
          <w:szCs w:val="24"/>
        </w:rPr>
      </w:pPr>
    </w:p>
    <w:p w14:paraId="303D7EE8" w14:textId="774F68E9" w:rsidR="00680C7E" w:rsidRDefault="00680C7E" w:rsidP="00680C7E">
      <w:pPr>
        <w:spacing w:after="0" w:line="240" w:lineRule="auto"/>
        <w:jc w:val="center"/>
        <w:rPr>
          <w:rFonts w:ascii="Arial" w:hAnsi="Arial" w:cs="Arial"/>
          <w:sz w:val="24"/>
          <w:szCs w:val="24"/>
        </w:rPr>
      </w:pPr>
      <w:r>
        <w:rPr>
          <w:rFonts w:ascii="Arial" w:hAnsi="Arial" w:cs="Arial"/>
          <w:sz w:val="24"/>
          <w:szCs w:val="24"/>
        </w:rPr>
        <w:t>Članak 3.</w:t>
      </w:r>
    </w:p>
    <w:p w14:paraId="7D01E58B" w14:textId="77777777" w:rsidR="00680C7E" w:rsidRDefault="00680C7E" w:rsidP="00680C7E">
      <w:pPr>
        <w:spacing w:after="0" w:line="240" w:lineRule="auto"/>
        <w:jc w:val="center"/>
        <w:rPr>
          <w:rFonts w:ascii="Arial" w:hAnsi="Arial" w:cs="Arial"/>
          <w:sz w:val="24"/>
          <w:szCs w:val="24"/>
        </w:rPr>
      </w:pPr>
    </w:p>
    <w:p w14:paraId="647D0A14" w14:textId="6044C569" w:rsidR="00680C7E" w:rsidRDefault="00680C7E" w:rsidP="00680C7E">
      <w:pPr>
        <w:spacing w:after="0" w:line="240" w:lineRule="auto"/>
        <w:jc w:val="both"/>
        <w:rPr>
          <w:rFonts w:ascii="Arial" w:hAnsi="Arial" w:cs="Arial"/>
          <w:sz w:val="24"/>
          <w:szCs w:val="24"/>
        </w:rPr>
      </w:pPr>
      <w:r>
        <w:rPr>
          <w:rFonts w:ascii="Arial" w:hAnsi="Arial" w:cs="Arial"/>
          <w:sz w:val="24"/>
          <w:szCs w:val="24"/>
        </w:rPr>
        <w:t xml:space="preserve">„Zajednički akcijski plan </w:t>
      </w:r>
      <w:r w:rsidRPr="001C2F3B">
        <w:rPr>
          <w:rFonts w:ascii="Arial" w:hAnsi="Arial" w:cs="Arial"/>
          <w:sz w:val="24"/>
          <w:szCs w:val="24"/>
        </w:rPr>
        <w:t>energetski održivog razvitka i prilagodbe klimatskim</w:t>
      </w:r>
      <w:r>
        <w:rPr>
          <w:rFonts w:ascii="Arial" w:hAnsi="Arial" w:cs="Arial"/>
          <w:sz w:val="24"/>
          <w:szCs w:val="24"/>
        </w:rPr>
        <w:t xml:space="preserve"> </w:t>
      </w:r>
      <w:r w:rsidRPr="001C2F3B">
        <w:rPr>
          <w:rFonts w:ascii="Arial" w:hAnsi="Arial" w:cs="Arial"/>
          <w:sz w:val="24"/>
          <w:szCs w:val="24"/>
        </w:rPr>
        <w:t>promjenama za Općinu Gradac i Općinu Podgora</w:t>
      </w:r>
      <w:r>
        <w:rPr>
          <w:rFonts w:ascii="Arial" w:hAnsi="Arial" w:cs="Arial"/>
          <w:sz w:val="24"/>
          <w:szCs w:val="24"/>
        </w:rPr>
        <w:t xml:space="preserve"> </w:t>
      </w:r>
      <w:r w:rsidRPr="001C2F3B">
        <w:rPr>
          <w:rFonts w:ascii="Arial" w:hAnsi="Arial" w:cs="Arial"/>
          <w:sz w:val="24"/>
          <w:szCs w:val="24"/>
        </w:rPr>
        <w:t>(Joint SECAP)</w:t>
      </w:r>
      <w:r>
        <w:rPr>
          <w:rFonts w:ascii="Arial" w:hAnsi="Arial" w:cs="Arial"/>
          <w:sz w:val="24"/>
          <w:szCs w:val="24"/>
        </w:rPr>
        <w:t>“</w:t>
      </w:r>
      <w:r>
        <w:rPr>
          <w:rFonts w:ascii="Arial" w:hAnsi="Arial" w:cs="Arial"/>
          <w:sz w:val="24"/>
          <w:szCs w:val="24"/>
        </w:rPr>
        <w:t xml:space="preserve"> čini sastavni dio ove Odluke. </w:t>
      </w:r>
    </w:p>
    <w:p w14:paraId="094AA169" w14:textId="77777777" w:rsidR="00680C7E" w:rsidRDefault="00680C7E" w:rsidP="00680C7E">
      <w:pPr>
        <w:spacing w:after="0" w:line="240" w:lineRule="auto"/>
        <w:jc w:val="both"/>
        <w:rPr>
          <w:rFonts w:ascii="Arial" w:hAnsi="Arial" w:cs="Arial"/>
          <w:sz w:val="24"/>
          <w:szCs w:val="24"/>
        </w:rPr>
      </w:pPr>
    </w:p>
    <w:p w14:paraId="3331415D" w14:textId="5479C17B" w:rsidR="00680C7E" w:rsidRDefault="00680C7E" w:rsidP="00680C7E">
      <w:pPr>
        <w:spacing w:after="0" w:line="240" w:lineRule="auto"/>
        <w:jc w:val="center"/>
        <w:rPr>
          <w:rFonts w:ascii="Arial" w:hAnsi="Arial" w:cs="Arial"/>
          <w:sz w:val="24"/>
          <w:szCs w:val="24"/>
        </w:rPr>
      </w:pPr>
      <w:r>
        <w:rPr>
          <w:rFonts w:ascii="Arial" w:hAnsi="Arial" w:cs="Arial"/>
          <w:sz w:val="24"/>
          <w:szCs w:val="24"/>
        </w:rPr>
        <w:t>Članak 4.</w:t>
      </w:r>
    </w:p>
    <w:p w14:paraId="50F5CF55" w14:textId="77777777" w:rsidR="00680C7E" w:rsidRDefault="00680C7E" w:rsidP="00680C7E">
      <w:pPr>
        <w:spacing w:after="0" w:line="240" w:lineRule="auto"/>
        <w:jc w:val="center"/>
        <w:rPr>
          <w:rFonts w:ascii="Arial" w:hAnsi="Arial" w:cs="Arial"/>
          <w:sz w:val="24"/>
          <w:szCs w:val="24"/>
        </w:rPr>
      </w:pPr>
    </w:p>
    <w:p w14:paraId="3D6D53CA" w14:textId="29B5D319" w:rsidR="00680C7E" w:rsidRDefault="00680C7E" w:rsidP="00680C7E">
      <w:pPr>
        <w:spacing w:after="0" w:line="240" w:lineRule="auto"/>
        <w:jc w:val="both"/>
        <w:rPr>
          <w:rFonts w:ascii="Arial" w:hAnsi="Arial" w:cs="Arial"/>
          <w:sz w:val="24"/>
          <w:szCs w:val="24"/>
        </w:rPr>
      </w:pPr>
      <w:r>
        <w:rPr>
          <w:rFonts w:ascii="Arial" w:hAnsi="Arial" w:cs="Arial"/>
          <w:sz w:val="24"/>
          <w:szCs w:val="24"/>
        </w:rPr>
        <w:t xml:space="preserve">Ova Odluka stupa na snagu osmog dana od dana objave u Glasniku, službenom glasilu Općine Podgora. </w:t>
      </w:r>
    </w:p>
    <w:p w14:paraId="192621DD" w14:textId="2EF9CDD5" w:rsidR="001C2F3B" w:rsidRDefault="001C2F3B" w:rsidP="001C2F3B">
      <w:pPr>
        <w:spacing w:after="0" w:line="240" w:lineRule="auto"/>
        <w:jc w:val="both"/>
        <w:rPr>
          <w:rFonts w:ascii="Arial" w:hAnsi="Arial" w:cs="Arial"/>
          <w:sz w:val="24"/>
          <w:szCs w:val="24"/>
        </w:rPr>
      </w:pPr>
    </w:p>
    <w:p w14:paraId="4B12AECD" w14:textId="77777777" w:rsidR="00680C7E" w:rsidRDefault="00680C7E" w:rsidP="001C2F3B">
      <w:pPr>
        <w:spacing w:after="0" w:line="240" w:lineRule="auto"/>
        <w:jc w:val="both"/>
        <w:rPr>
          <w:rFonts w:ascii="Arial" w:hAnsi="Arial" w:cs="Arial"/>
          <w:sz w:val="24"/>
          <w:szCs w:val="24"/>
        </w:rPr>
      </w:pPr>
    </w:p>
    <w:p w14:paraId="2B2D92AE" w14:textId="77777777" w:rsidR="00680C7E" w:rsidRPr="00DF4F5F" w:rsidRDefault="00680C7E" w:rsidP="00680C7E">
      <w:pPr>
        <w:spacing w:after="0" w:line="240" w:lineRule="auto"/>
        <w:jc w:val="center"/>
        <w:rPr>
          <w:rFonts w:ascii="Arial" w:eastAsia="Calibri" w:hAnsi="Arial" w:cs="Arial"/>
          <w:sz w:val="24"/>
          <w:szCs w:val="24"/>
          <w14:ligatures w14:val="none"/>
        </w:rPr>
      </w:pPr>
      <w:r w:rsidRPr="00DF4F5F">
        <w:rPr>
          <w:rFonts w:ascii="Arial" w:eastAsia="Calibri" w:hAnsi="Arial" w:cs="Arial"/>
          <w:sz w:val="24"/>
          <w:szCs w:val="24"/>
          <w14:ligatures w14:val="none"/>
        </w:rPr>
        <w:t>REPUBLIKA HRVATSKA</w:t>
      </w:r>
    </w:p>
    <w:p w14:paraId="0E60E213" w14:textId="77777777" w:rsidR="00680C7E" w:rsidRPr="00DF4F5F" w:rsidRDefault="00680C7E" w:rsidP="00680C7E">
      <w:pPr>
        <w:spacing w:after="0" w:line="240" w:lineRule="auto"/>
        <w:jc w:val="center"/>
        <w:rPr>
          <w:rFonts w:ascii="Arial" w:eastAsia="Calibri" w:hAnsi="Arial" w:cs="Arial"/>
          <w:sz w:val="24"/>
          <w:szCs w:val="24"/>
          <w14:ligatures w14:val="none"/>
        </w:rPr>
      </w:pPr>
      <w:r w:rsidRPr="00DF4F5F">
        <w:rPr>
          <w:rFonts w:ascii="Arial" w:eastAsia="Calibri" w:hAnsi="Arial" w:cs="Arial"/>
          <w:sz w:val="24"/>
          <w:szCs w:val="24"/>
          <w14:ligatures w14:val="none"/>
        </w:rPr>
        <w:t>SPLITSKO-DALMATINSKA ŽUPANIJA</w:t>
      </w:r>
    </w:p>
    <w:p w14:paraId="35CDA39B" w14:textId="77777777" w:rsidR="00680C7E" w:rsidRPr="00DF4F5F" w:rsidRDefault="00680C7E" w:rsidP="00680C7E">
      <w:pPr>
        <w:spacing w:after="0" w:line="240" w:lineRule="auto"/>
        <w:jc w:val="center"/>
        <w:rPr>
          <w:rFonts w:ascii="Arial" w:eastAsia="Calibri" w:hAnsi="Arial" w:cs="Arial"/>
          <w:sz w:val="24"/>
          <w:szCs w:val="24"/>
          <w14:ligatures w14:val="none"/>
        </w:rPr>
      </w:pPr>
      <w:r w:rsidRPr="00DF4F5F">
        <w:rPr>
          <w:rFonts w:ascii="Arial" w:eastAsia="Calibri" w:hAnsi="Arial" w:cs="Arial"/>
          <w:sz w:val="24"/>
          <w:szCs w:val="24"/>
          <w14:ligatures w14:val="none"/>
        </w:rPr>
        <w:t>OPĆINA PODGORA</w:t>
      </w:r>
    </w:p>
    <w:p w14:paraId="2D0A4DB2" w14:textId="77777777" w:rsidR="00680C7E" w:rsidRPr="00DF4F5F" w:rsidRDefault="00680C7E" w:rsidP="00680C7E">
      <w:pPr>
        <w:spacing w:after="0" w:line="240" w:lineRule="auto"/>
        <w:jc w:val="center"/>
        <w:rPr>
          <w:rFonts w:ascii="Arial" w:eastAsia="Calibri" w:hAnsi="Arial" w:cs="Arial"/>
          <w:sz w:val="24"/>
          <w:szCs w:val="24"/>
          <w14:ligatures w14:val="none"/>
        </w:rPr>
      </w:pPr>
      <w:r w:rsidRPr="00DF4F5F">
        <w:rPr>
          <w:rFonts w:ascii="Arial" w:eastAsia="Calibri" w:hAnsi="Arial" w:cs="Arial"/>
          <w:sz w:val="24"/>
          <w:szCs w:val="24"/>
          <w14:ligatures w14:val="none"/>
        </w:rPr>
        <w:t>OPĆINSKO VIJEĆE</w:t>
      </w:r>
    </w:p>
    <w:p w14:paraId="7F537E13" w14:textId="77777777" w:rsidR="00680C7E" w:rsidRPr="00DF4F5F" w:rsidRDefault="00680C7E" w:rsidP="00680C7E">
      <w:pPr>
        <w:spacing w:after="0" w:line="240" w:lineRule="auto"/>
        <w:jc w:val="center"/>
        <w:rPr>
          <w:rFonts w:ascii="Arial" w:eastAsia="Calibri" w:hAnsi="Arial" w:cs="Arial"/>
          <w:sz w:val="24"/>
          <w:szCs w:val="24"/>
          <w14:ligatures w14:val="none"/>
        </w:rPr>
      </w:pPr>
    </w:p>
    <w:p w14:paraId="4118ABFE" w14:textId="77777777" w:rsidR="00680C7E" w:rsidRPr="00DF4F5F" w:rsidRDefault="00680C7E" w:rsidP="00680C7E">
      <w:pPr>
        <w:spacing w:after="0" w:line="240" w:lineRule="auto"/>
        <w:rPr>
          <w:rFonts w:ascii="Arial" w:eastAsia="Calibri" w:hAnsi="Arial" w:cs="Arial"/>
          <w:sz w:val="24"/>
          <w:szCs w:val="24"/>
          <w14:ligatures w14:val="none"/>
        </w:rPr>
      </w:pPr>
    </w:p>
    <w:p w14:paraId="6A8B0A4F" w14:textId="77777777" w:rsidR="00680C7E" w:rsidRPr="00DF4F5F" w:rsidRDefault="00680C7E" w:rsidP="00680C7E">
      <w:pPr>
        <w:spacing w:after="0" w:line="240" w:lineRule="auto"/>
        <w:rPr>
          <w:rFonts w:ascii="Arial" w:eastAsia="Calibri" w:hAnsi="Arial" w:cs="Arial"/>
          <w:sz w:val="24"/>
          <w:szCs w:val="24"/>
          <w14:ligatures w14:val="none"/>
        </w:rPr>
      </w:pPr>
    </w:p>
    <w:p w14:paraId="73176D23" w14:textId="77777777" w:rsidR="00680C7E" w:rsidRPr="00DF4F5F" w:rsidRDefault="00680C7E" w:rsidP="00680C7E">
      <w:pPr>
        <w:spacing w:after="0" w:line="240" w:lineRule="auto"/>
        <w:rPr>
          <w:rFonts w:ascii="Arial" w:eastAsia="Calibri" w:hAnsi="Arial" w:cs="Arial"/>
          <w:sz w:val="24"/>
          <w:szCs w:val="24"/>
          <w14:ligatures w14:val="none"/>
        </w:rPr>
      </w:pPr>
      <w:r w:rsidRPr="00DF4F5F">
        <w:rPr>
          <w:rFonts w:ascii="Arial" w:eastAsia="Calibri" w:hAnsi="Arial" w:cs="Arial"/>
          <w:sz w:val="24"/>
          <w:szCs w:val="24"/>
          <w14:ligatures w14:val="none"/>
        </w:rPr>
        <w:t>KLASA:</w:t>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t>PREDSJEDNIK OPĆINSKOG VIJEĆA</w:t>
      </w:r>
    </w:p>
    <w:p w14:paraId="64C2BBE4" w14:textId="77777777" w:rsidR="00680C7E" w:rsidRPr="00DF4F5F" w:rsidRDefault="00680C7E" w:rsidP="00680C7E">
      <w:pPr>
        <w:spacing w:after="0" w:line="240" w:lineRule="auto"/>
        <w:jc w:val="both"/>
        <w:rPr>
          <w:rFonts w:ascii="Arial" w:eastAsia="Calibri" w:hAnsi="Arial" w:cs="Arial"/>
          <w:sz w:val="24"/>
          <w:szCs w:val="24"/>
          <w14:ligatures w14:val="none"/>
        </w:rPr>
      </w:pPr>
      <w:r w:rsidRPr="00DF4F5F">
        <w:rPr>
          <w:rFonts w:ascii="Arial" w:eastAsia="Calibri" w:hAnsi="Arial" w:cs="Arial"/>
          <w:sz w:val="24"/>
          <w:szCs w:val="24"/>
          <w14:ligatures w14:val="none"/>
        </w:rPr>
        <w:t xml:space="preserve">URBROJ: </w:t>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r w:rsidRPr="00DF4F5F">
        <w:rPr>
          <w:rFonts w:ascii="Arial" w:eastAsia="Calibri" w:hAnsi="Arial" w:cs="Arial"/>
          <w:sz w:val="24"/>
          <w:szCs w:val="24"/>
          <w14:ligatures w14:val="none"/>
        </w:rPr>
        <w:tab/>
      </w:r>
    </w:p>
    <w:p w14:paraId="009C8C86" w14:textId="1A962085" w:rsidR="00680C7E" w:rsidRDefault="00680C7E" w:rsidP="001C2F3B">
      <w:pPr>
        <w:spacing w:after="0" w:line="240" w:lineRule="auto"/>
        <w:jc w:val="both"/>
        <w:rPr>
          <w:rFonts w:ascii="Arial" w:hAnsi="Arial" w:cs="Arial"/>
          <w:sz w:val="24"/>
          <w:szCs w:val="24"/>
        </w:rPr>
      </w:pPr>
      <w:r>
        <w:rPr>
          <w:rFonts w:ascii="Arial" w:hAnsi="Arial" w:cs="Arial"/>
          <w:sz w:val="24"/>
          <w:szCs w:val="24"/>
        </w:rPr>
        <w:lastRenderedPageBreak/>
        <w:t>OBRAZLOŽENJE:</w:t>
      </w:r>
    </w:p>
    <w:p w14:paraId="67B4E903" w14:textId="77777777" w:rsidR="00680C7E" w:rsidRDefault="00680C7E" w:rsidP="001C2F3B">
      <w:pPr>
        <w:spacing w:after="0" w:line="240" w:lineRule="auto"/>
        <w:jc w:val="both"/>
        <w:rPr>
          <w:rFonts w:ascii="Arial" w:hAnsi="Arial" w:cs="Arial"/>
          <w:sz w:val="24"/>
          <w:szCs w:val="24"/>
        </w:rPr>
      </w:pPr>
    </w:p>
    <w:p w14:paraId="6F1BC9A3" w14:textId="77777777" w:rsidR="00680C7E" w:rsidRP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Kao najveći izazov današnjice nametnula se globalna promjena klime, a znanstvena istraživanja pokazuju da je povećanje emisije stakleničkih plinova posljedica izgaranja fosilnih goriva, intenzivne poljoprivrede i sječe tropskih šuma. Utjecaj klimatskih promjena na pojedine sektore i njihova ranjivost mogu biti slični u više slučajeva ili na više različitih lokacija, no ne postoje opće smjernice prilagodbe. Svaki slučaj je drugačiji i treba primijeniti odgovarajuća rješenja. Klimatske promjene imaju i globalno i lokalno djelovanje, ali su mjere prilagodbe klimatskim promjenama isključivo lokalne.</w:t>
      </w:r>
    </w:p>
    <w:p w14:paraId="647ACC7E" w14:textId="77777777" w:rsidR="00680C7E" w:rsidRDefault="00680C7E" w:rsidP="00680C7E">
      <w:pPr>
        <w:spacing w:after="0" w:line="240" w:lineRule="auto"/>
        <w:jc w:val="both"/>
        <w:rPr>
          <w:rFonts w:ascii="Arial" w:hAnsi="Arial" w:cs="Arial"/>
          <w:sz w:val="24"/>
          <w:szCs w:val="24"/>
        </w:rPr>
      </w:pPr>
    </w:p>
    <w:p w14:paraId="181352CD" w14:textId="12F88E61" w:rsidR="00680C7E" w:rsidRP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Posljedice klimatskih promjena na društvo i društvene procese su različite, ali u konačnici sve one rezultiraju povećanjem ranjivosti na njih. Borba protiv klimatskih promjena je moguća na dva načina:</w:t>
      </w:r>
    </w:p>
    <w:p w14:paraId="385C3B32" w14:textId="77777777" w:rsidR="00680C7E" w:rsidRP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w:t>
      </w:r>
      <w:r w:rsidRPr="00680C7E">
        <w:rPr>
          <w:rFonts w:ascii="Arial" w:hAnsi="Arial" w:cs="Arial"/>
          <w:sz w:val="24"/>
          <w:szCs w:val="24"/>
        </w:rPr>
        <w:tab/>
        <w:t>djelovanjem na uzroke klimatskih promjena (ublažavanje klimatskih promjena),</w:t>
      </w:r>
    </w:p>
    <w:p w14:paraId="4557B3E5" w14:textId="77777777" w:rsidR="00680C7E" w:rsidRP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w:t>
      </w:r>
      <w:r w:rsidRPr="00680C7E">
        <w:rPr>
          <w:rFonts w:ascii="Arial" w:hAnsi="Arial" w:cs="Arial"/>
          <w:sz w:val="24"/>
          <w:szCs w:val="24"/>
        </w:rPr>
        <w:tab/>
        <w:t>rješavanje i djelovanje na posljedice klimatskih promjena (prilagodba klimatskim promjenama).</w:t>
      </w:r>
    </w:p>
    <w:p w14:paraId="7089C4A1" w14:textId="77777777" w:rsidR="00680C7E" w:rsidRDefault="00680C7E" w:rsidP="00680C7E">
      <w:pPr>
        <w:spacing w:after="0" w:line="240" w:lineRule="auto"/>
        <w:jc w:val="both"/>
        <w:rPr>
          <w:rFonts w:ascii="Arial" w:hAnsi="Arial" w:cs="Arial"/>
          <w:sz w:val="24"/>
          <w:szCs w:val="24"/>
        </w:rPr>
      </w:pPr>
    </w:p>
    <w:p w14:paraId="509D4403" w14:textId="5603F2E3" w:rsidR="00680C7E" w:rsidRP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Ublažavanje klimatskih promjena ima za cilj smanjenje emisije stakleničkih plinova i/ili na odgovarajući način povećanje kapaciteta njihove apsorpcije.</w:t>
      </w:r>
    </w:p>
    <w:p w14:paraId="479C238C" w14:textId="77777777" w:rsidR="00680C7E" w:rsidRDefault="00680C7E" w:rsidP="00680C7E">
      <w:pPr>
        <w:spacing w:after="0" w:line="240" w:lineRule="auto"/>
        <w:jc w:val="both"/>
        <w:rPr>
          <w:rFonts w:ascii="Arial" w:hAnsi="Arial" w:cs="Arial"/>
          <w:sz w:val="24"/>
          <w:szCs w:val="24"/>
        </w:rPr>
      </w:pPr>
    </w:p>
    <w:p w14:paraId="3C470F8A" w14:textId="70495058" w:rsidR="00680C7E" w:rsidRP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Prilagodba klimatskim promjenama je definirana kao proces koji podrazumijeva procjenu štetnih utjecaja klimatskih promjena i poduzimanje primjerenih mjera s ciljem sprječavanja ili smanjenja potencijalne štete koje one mogu uzrokovati (Zakon o zaštiti zraka NN 127/19, 57/22, Zakon o klimatskim promjenama i zaštiti ozonskog sloja NN 127/19).</w:t>
      </w:r>
    </w:p>
    <w:p w14:paraId="1AA84910" w14:textId="77777777" w:rsidR="00680C7E" w:rsidRDefault="00680C7E" w:rsidP="00680C7E">
      <w:pPr>
        <w:spacing w:after="0" w:line="240" w:lineRule="auto"/>
        <w:jc w:val="both"/>
        <w:rPr>
          <w:rFonts w:ascii="Arial" w:hAnsi="Arial" w:cs="Arial"/>
          <w:sz w:val="24"/>
          <w:szCs w:val="24"/>
        </w:rPr>
      </w:pPr>
    </w:p>
    <w:p w14:paraId="0D2C02EB" w14:textId="4C0C9B22" w:rsid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Zajednički akcijski plan energetski održivog razvitka i klimatskih promjena (engl. Joint Sustainable Energy and Climate Action Plan - Joint SECAP) za područje Općine Gradac i Općine Podgora izrađuje se sa željom da se aktivnosti lokalnih uprava i drugih dionika na tom području što više usmjere na održivi razvoj i korištenje energije i prometa tako da utjecaj na okoliš bude što manji. Time se ispunjavaju europske politike te uredbe i preporuke za postizanje niskougljičnih emisija s ciljem smanjenja utjecaja klimatskih promjena na okoliš i stanovništvo do 2030. godine.</w:t>
      </w:r>
    </w:p>
    <w:p w14:paraId="4F8157DE" w14:textId="77777777" w:rsidR="00680C7E" w:rsidRPr="00680C7E" w:rsidRDefault="00680C7E" w:rsidP="00680C7E">
      <w:pPr>
        <w:spacing w:after="0" w:line="240" w:lineRule="auto"/>
        <w:jc w:val="both"/>
        <w:rPr>
          <w:rFonts w:ascii="Arial" w:hAnsi="Arial" w:cs="Arial"/>
          <w:sz w:val="24"/>
          <w:szCs w:val="24"/>
        </w:rPr>
      </w:pPr>
    </w:p>
    <w:p w14:paraId="6C78A66B" w14:textId="77777777" w:rsid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Navedene ciljeve potaknula je inicijativa Sporazum gradonačelnika (engl. Covenant of Mayors), koja je krajem 2015. godine usvojila novi opći cilj kojim su se gradovi potpisnici obvezali da će aktivno podržavati postizanje cilja za smanjenja emisije stakleničkih plinova za 40 % do 2030. godine, prihvatiti usvajanje integriranog pristupa radi ublažavanja i prilagodbe klimatskim promjenama te osigurati pristup sigurnoj, održivoj i dostupnoj energiji za sve. Time je inicijativa prerasla u Sporazum gradonačelnika za klimu i energiju.</w:t>
      </w:r>
    </w:p>
    <w:p w14:paraId="24849473" w14:textId="77777777" w:rsidR="00680C7E" w:rsidRPr="00680C7E" w:rsidRDefault="00680C7E" w:rsidP="00680C7E">
      <w:pPr>
        <w:spacing w:after="0" w:line="240" w:lineRule="auto"/>
        <w:jc w:val="both"/>
        <w:rPr>
          <w:rFonts w:ascii="Arial" w:hAnsi="Arial" w:cs="Arial"/>
          <w:sz w:val="24"/>
          <w:szCs w:val="24"/>
        </w:rPr>
      </w:pPr>
    </w:p>
    <w:p w14:paraId="6B9547C9" w14:textId="77777777" w:rsid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 xml:space="preserve">Scenarij neto nulte emisije je u dokumentu Prijedlog - „STRATEGIJA NISKOUGLJIČNOG RAZVOJA REPUBLIKE HRVATSKE DO 2030. S POGLEDOM NA 2050. GODINU“ Ministarstva gospodarstva i održivog razvoja uključen u obliku informacije jer su političke odluke na razini EU u tom smjeru donesene nedavno (kraj srpnja 2021.). Krajem 2018. godine usvojen je dokument Čist planet za sve - Europska strateška dugoročna vizija za perspektivno, moderno, konkurentno i klimatski neutralno gospodarstvo. Svrha je ove dugoročne strategije potvrditi vodeću ulogu Europe u oblikovanju globalne klimatske politike te predstaviti viziju koja može pomoći </w:t>
      </w:r>
      <w:r w:rsidRPr="00680C7E">
        <w:rPr>
          <w:rFonts w:ascii="Arial" w:hAnsi="Arial" w:cs="Arial"/>
          <w:sz w:val="24"/>
          <w:szCs w:val="24"/>
        </w:rPr>
        <w:lastRenderedPageBreak/>
        <w:t>da se do 2050. godine, na troškovno učinkovit način i putem društveno pravedne tranzicije postigne neto nulta stopa emisija stakleničkih plinova. Krajem 2019. godine EU postavlja novi strateški okvir - Europski zeleni plan kojim se gospodarski napredak temelji na klimatski neutralnom gospodarstvu do 2050. godine. Krajem 2020. godine usvojen je novi cilj EU do 2030., smanjenja neto emisija za 55 % u odnosu na 1990. godinu. U narednim godinama kroz intenzivne analize i rasprave, države članice analizirat će moguće scenarije neto nulte emisije do 2050. godine, revidirati ciljeve do 2030. godine, kao i svoje niskougljične strategije, što se odnosi i na Republiku Hrvatsku.</w:t>
      </w:r>
    </w:p>
    <w:p w14:paraId="68FD1F84" w14:textId="43826CBF" w:rsidR="00680C7E" w:rsidRDefault="00680C7E" w:rsidP="00680C7E">
      <w:pPr>
        <w:spacing w:after="0" w:line="240" w:lineRule="auto"/>
        <w:jc w:val="both"/>
        <w:rPr>
          <w:rFonts w:ascii="Arial" w:hAnsi="Arial" w:cs="Arial"/>
          <w:sz w:val="24"/>
          <w:szCs w:val="24"/>
        </w:rPr>
      </w:pPr>
    </w:p>
    <w:p w14:paraId="58EFE008" w14:textId="40005D03" w:rsid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 xml:space="preserve">Općina Podgora će donijeti konkretne dugoročne mjere kojima će se osigurati ekološki, društveno i gospodarski stabilno okruženje za sadašnje i buduće naraštaje, a jedan od prvih koraka je izrada Zajedničkog akcijskog plana energetski održivog razvitka i klimatskih promjena (engl. </w:t>
      </w:r>
      <w:r w:rsidRPr="00680C7E">
        <w:rPr>
          <w:rFonts w:ascii="Arial" w:hAnsi="Arial" w:cs="Arial"/>
          <w:i/>
          <w:iCs/>
          <w:sz w:val="24"/>
          <w:szCs w:val="24"/>
        </w:rPr>
        <w:t>Joint Sustainable Energy and Climate Action Plan - Joint SECAP</w:t>
      </w:r>
      <w:r w:rsidRPr="00680C7E">
        <w:rPr>
          <w:rFonts w:ascii="Arial" w:hAnsi="Arial" w:cs="Arial"/>
          <w:sz w:val="24"/>
          <w:szCs w:val="24"/>
        </w:rPr>
        <w:t>) za njihovo administrativno područje.</w:t>
      </w:r>
    </w:p>
    <w:p w14:paraId="7FF1A73B" w14:textId="77777777" w:rsidR="00680C7E" w:rsidRPr="00680C7E" w:rsidRDefault="00680C7E" w:rsidP="00680C7E">
      <w:pPr>
        <w:spacing w:after="0" w:line="240" w:lineRule="auto"/>
        <w:jc w:val="both"/>
        <w:rPr>
          <w:rFonts w:ascii="Arial" w:hAnsi="Arial" w:cs="Arial"/>
          <w:sz w:val="24"/>
          <w:szCs w:val="24"/>
        </w:rPr>
      </w:pPr>
    </w:p>
    <w:p w14:paraId="0572700C" w14:textId="77777777" w:rsid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Izrada Zajedničkog SECAP-a proizlazi iz legislative Republike Hrvatske. Naime, prema odredbama Zakona o energetskoj učinkovitosti (NN 127/14, 116/18, 25/20, 32/21, 41/21) akcijski plan donose jedinice područne (regionalne) samouprave i veliki gradovi, a mogu ga donijeti i druge jedinice lokalne samouprave. Metodologija izrade i sadržaj Akcijskog plana energetske učinkovitosti propisani su spomenutim Zakonom o energetskoj učinkovitosti (NN 127/14, 116/18, 25/20, 32/21, 41/21), Pravilnikom o sustavnom gospodarenju energijom u javnom sektoru (NN 18/15 i 06/16) te Pravilnikom o sustavu za praćenje, mjerenje i verifikaciju ušteda energije (NN 98/21, 30/22).</w:t>
      </w:r>
    </w:p>
    <w:p w14:paraId="25648035" w14:textId="77777777" w:rsidR="00680C7E" w:rsidRPr="00680C7E" w:rsidRDefault="00680C7E" w:rsidP="00680C7E">
      <w:pPr>
        <w:spacing w:after="0" w:line="240" w:lineRule="auto"/>
        <w:jc w:val="both"/>
        <w:rPr>
          <w:rFonts w:ascii="Arial" w:hAnsi="Arial" w:cs="Arial"/>
          <w:sz w:val="24"/>
          <w:szCs w:val="24"/>
        </w:rPr>
      </w:pPr>
    </w:p>
    <w:p w14:paraId="1241275F" w14:textId="77777777" w:rsidR="00680C7E" w:rsidRP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U zajedničkom SECAP-u Općine Gradac i Općine Podgora je obrađena i izračunata potrošnja energije po energentima te referentni i kontrolni inventar emisija CO</w:t>
      </w:r>
      <w:r w:rsidRPr="00680C7E">
        <w:rPr>
          <w:rFonts w:ascii="Arial" w:hAnsi="Arial" w:cs="Arial"/>
          <w:sz w:val="24"/>
          <w:szCs w:val="24"/>
          <w:vertAlign w:val="subscript"/>
        </w:rPr>
        <w:t>2</w:t>
      </w:r>
      <w:r w:rsidRPr="00680C7E">
        <w:rPr>
          <w:rFonts w:ascii="Arial" w:hAnsi="Arial" w:cs="Arial"/>
          <w:sz w:val="24"/>
          <w:szCs w:val="24"/>
        </w:rPr>
        <w:t xml:space="preserve"> za:</w:t>
      </w:r>
    </w:p>
    <w:p w14:paraId="68902507" w14:textId="77777777" w:rsidR="00680C7E" w:rsidRPr="00680C7E" w:rsidRDefault="00680C7E" w:rsidP="00680C7E">
      <w:pPr>
        <w:numPr>
          <w:ilvl w:val="0"/>
          <w:numId w:val="1"/>
        </w:numPr>
        <w:spacing w:after="0" w:line="240" w:lineRule="auto"/>
        <w:jc w:val="both"/>
        <w:rPr>
          <w:rFonts w:ascii="Arial" w:hAnsi="Arial" w:cs="Arial"/>
          <w:sz w:val="24"/>
          <w:szCs w:val="24"/>
        </w:rPr>
      </w:pPr>
      <w:r w:rsidRPr="00680C7E">
        <w:rPr>
          <w:rFonts w:ascii="Arial" w:hAnsi="Arial" w:cs="Arial"/>
          <w:sz w:val="24"/>
          <w:szCs w:val="24"/>
        </w:rPr>
        <w:t>sektor zgradarstva;</w:t>
      </w:r>
    </w:p>
    <w:p w14:paraId="7CE95C40" w14:textId="77777777" w:rsidR="00680C7E" w:rsidRPr="00680C7E" w:rsidRDefault="00680C7E" w:rsidP="00680C7E">
      <w:pPr>
        <w:numPr>
          <w:ilvl w:val="0"/>
          <w:numId w:val="1"/>
        </w:numPr>
        <w:spacing w:after="0" w:line="240" w:lineRule="auto"/>
        <w:jc w:val="both"/>
        <w:rPr>
          <w:rFonts w:ascii="Arial" w:hAnsi="Arial" w:cs="Arial"/>
          <w:sz w:val="24"/>
          <w:szCs w:val="24"/>
        </w:rPr>
      </w:pPr>
      <w:r w:rsidRPr="00680C7E">
        <w:rPr>
          <w:rFonts w:ascii="Arial" w:hAnsi="Arial" w:cs="Arial"/>
          <w:sz w:val="24"/>
          <w:szCs w:val="24"/>
        </w:rPr>
        <w:t>sektor prometa;</w:t>
      </w:r>
    </w:p>
    <w:p w14:paraId="1F84F3DF" w14:textId="77777777" w:rsidR="00680C7E" w:rsidRPr="00680C7E" w:rsidRDefault="00680C7E" w:rsidP="00680C7E">
      <w:pPr>
        <w:numPr>
          <w:ilvl w:val="0"/>
          <w:numId w:val="1"/>
        </w:numPr>
        <w:spacing w:after="0" w:line="240" w:lineRule="auto"/>
        <w:jc w:val="both"/>
        <w:rPr>
          <w:rFonts w:ascii="Arial" w:hAnsi="Arial" w:cs="Arial"/>
          <w:sz w:val="24"/>
          <w:szCs w:val="24"/>
        </w:rPr>
      </w:pPr>
      <w:r w:rsidRPr="00680C7E">
        <w:rPr>
          <w:rFonts w:ascii="Arial" w:hAnsi="Arial" w:cs="Arial"/>
          <w:sz w:val="24"/>
          <w:szCs w:val="24"/>
        </w:rPr>
        <w:t>sektor javne rasvjete.</w:t>
      </w:r>
    </w:p>
    <w:p w14:paraId="4A8C65C9" w14:textId="77777777" w:rsidR="00680C7E" w:rsidRPr="00680C7E" w:rsidRDefault="00680C7E" w:rsidP="00680C7E">
      <w:pPr>
        <w:spacing w:after="0" w:line="240" w:lineRule="auto"/>
        <w:jc w:val="both"/>
        <w:rPr>
          <w:rFonts w:ascii="Arial" w:hAnsi="Arial" w:cs="Arial"/>
          <w:sz w:val="24"/>
          <w:szCs w:val="24"/>
        </w:rPr>
      </w:pPr>
    </w:p>
    <w:p w14:paraId="0729BD92" w14:textId="77777777" w:rsid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 xml:space="preserve">Svaka općina obrađena je zasebnim poglavljima, ovakva metodologija izabrana je u svrhu bolje preglednosti SECAP-a. </w:t>
      </w:r>
    </w:p>
    <w:p w14:paraId="117CDF31" w14:textId="77777777" w:rsidR="00680C7E" w:rsidRPr="00680C7E" w:rsidRDefault="00680C7E" w:rsidP="00680C7E">
      <w:pPr>
        <w:spacing w:after="0" w:line="240" w:lineRule="auto"/>
        <w:jc w:val="both"/>
        <w:rPr>
          <w:rFonts w:ascii="Arial" w:hAnsi="Arial" w:cs="Arial"/>
          <w:sz w:val="24"/>
          <w:szCs w:val="24"/>
        </w:rPr>
      </w:pPr>
    </w:p>
    <w:p w14:paraId="675A2C94" w14:textId="77777777" w:rsidR="00680C7E" w:rsidRPr="00680C7E" w:rsidRDefault="00680C7E" w:rsidP="00680C7E">
      <w:pPr>
        <w:spacing w:after="0" w:line="240" w:lineRule="auto"/>
        <w:jc w:val="both"/>
        <w:rPr>
          <w:rFonts w:ascii="Arial" w:hAnsi="Arial" w:cs="Arial"/>
          <w:sz w:val="24"/>
          <w:szCs w:val="24"/>
        </w:rPr>
      </w:pPr>
      <w:r w:rsidRPr="00680C7E">
        <w:rPr>
          <w:rFonts w:ascii="Arial" w:hAnsi="Arial" w:cs="Arial"/>
          <w:sz w:val="24"/>
          <w:szCs w:val="24"/>
        </w:rPr>
        <w:t>Navedeno se odnosi na sljedeće naslove:</w:t>
      </w:r>
    </w:p>
    <w:p w14:paraId="096D1FDB" w14:textId="77777777" w:rsidR="00680C7E" w:rsidRPr="00680C7E" w:rsidRDefault="00680C7E" w:rsidP="00680C7E">
      <w:pPr>
        <w:numPr>
          <w:ilvl w:val="0"/>
          <w:numId w:val="2"/>
        </w:numPr>
        <w:spacing w:after="0" w:line="240" w:lineRule="auto"/>
        <w:jc w:val="both"/>
        <w:rPr>
          <w:rFonts w:ascii="Arial" w:hAnsi="Arial" w:cs="Arial"/>
          <w:sz w:val="24"/>
          <w:szCs w:val="24"/>
        </w:rPr>
      </w:pPr>
      <w:r w:rsidRPr="00680C7E">
        <w:rPr>
          <w:rFonts w:ascii="Arial" w:hAnsi="Arial" w:cs="Arial"/>
          <w:sz w:val="24"/>
          <w:szCs w:val="24"/>
        </w:rPr>
        <w:t xml:space="preserve">analiza energetske potrošnje; </w:t>
      </w:r>
    </w:p>
    <w:p w14:paraId="3A6BD23A" w14:textId="77777777" w:rsidR="00680C7E" w:rsidRPr="00680C7E" w:rsidRDefault="00680C7E" w:rsidP="00680C7E">
      <w:pPr>
        <w:numPr>
          <w:ilvl w:val="0"/>
          <w:numId w:val="2"/>
        </w:numPr>
        <w:spacing w:after="0" w:line="240" w:lineRule="auto"/>
        <w:jc w:val="both"/>
        <w:rPr>
          <w:rFonts w:ascii="Arial" w:hAnsi="Arial" w:cs="Arial"/>
          <w:sz w:val="24"/>
          <w:szCs w:val="24"/>
        </w:rPr>
      </w:pPr>
      <w:r w:rsidRPr="00680C7E">
        <w:rPr>
          <w:rFonts w:ascii="Arial" w:hAnsi="Arial" w:cs="Arial"/>
          <w:sz w:val="24"/>
          <w:szCs w:val="24"/>
        </w:rPr>
        <w:t>referentni inventar emisija CO</w:t>
      </w:r>
      <w:r w:rsidRPr="00680C7E">
        <w:rPr>
          <w:rFonts w:ascii="Arial" w:hAnsi="Arial" w:cs="Arial"/>
          <w:sz w:val="24"/>
          <w:szCs w:val="24"/>
          <w:vertAlign w:val="subscript"/>
        </w:rPr>
        <w:t>2</w:t>
      </w:r>
      <w:r w:rsidRPr="00680C7E">
        <w:rPr>
          <w:rFonts w:ascii="Arial" w:hAnsi="Arial" w:cs="Arial"/>
          <w:sz w:val="24"/>
          <w:szCs w:val="24"/>
        </w:rPr>
        <w:t xml:space="preserve">; </w:t>
      </w:r>
    </w:p>
    <w:p w14:paraId="556CC15A" w14:textId="77777777" w:rsidR="00680C7E" w:rsidRPr="00680C7E" w:rsidRDefault="00680C7E" w:rsidP="00680C7E">
      <w:pPr>
        <w:numPr>
          <w:ilvl w:val="0"/>
          <w:numId w:val="2"/>
        </w:numPr>
        <w:spacing w:after="0" w:line="240" w:lineRule="auto"/>
        <w:jc w:val="both"/>
        <w:rPr>
          <w:rFonts w:ascii="Arial" w:hAnsi="Arial" w:cs="Arial"/>
          <w:sz w:val="24"/>
          <w:szCs w:val="24"/>
        </w:rPr>
      </w:pPr>
      <w:r w:rsidRPr="00680C7E">
        <w:rPr>
          <w:rFonts w:ascii="Arial" w:hAnsi="Arial" w:cs="Arial"/>
          <w:sz w:val="24"/>
          <w:szCs w:val="24"/>
        </w:rPr>
        <w:t>kontrolni inventar emisija CO</w:t>
      </w:r>
      <w:r w:rsidRPr="00680C7E">
        <w:rPr>
          <w:rFonts w:ascii="Arial" w:hAnsi="Arial" w:cs="Arial"/>
          <w:sz w:val="24"/>
          <w:szCs w:val="24"/>
          <w:vertAlign w:val="subscript"/>
        </w:rPr>
        <w:t>2</w:t>
      </w:r>
      <w:r w:rsidRPr="00680C7E">
        <w:rPr>
          <w:rFonts w:ascii="Arial" w:hAnsi="Arial" w:cs="Arial"/>
          <w:sz w:val="24"/>
          <w:szCs w:val="24"/>
        </w:rPr>
        <w:t>;</w:t>
      </w:r>
    </w:p>
    <w:p w14:paraId="48428212" w14:textId="77777777" w:rsidR="00680C7E" w:rsidRPr="00680C7E" w:rsidRDefault="00680C7E" w:rsidP="00680C7E">
      <w:pPr>
        <w:numPr>
          <w:ilvl w:val="0"/>
          <w:numId w:val="2"/>
        </w:numPr>
        <w:spacing w:after="0" w:line="240" w:lineRule="auto"/>
        <w:jc w:val="both"/>
        <w:rPr>
          <w:rFonts w:ascii="Arial" w:hAnsi="Arial" w:cs="Arial"/>
          <w:sz w:val="24"/>
          <w:szCs w:val="24"/>
        </w:rPr>
      </w:pPr>
      <w:r w:rsidRPr="00680C7E">
        <w:rPr>
          <w:rFonts w:ascii="Arial" w:hAnsi="Arial" w:cs="Arial"/>
          <w:sz w:val="24"/>
          <w:szCs w:val="24"/>
        </w:rPr>
        <w:t>usporedba referentnog i kontrolnog inventara emisija CO</w:t>
      </w:r>
      <w:r w:rsidRPr="00680C7E">
        <w:rPr>
          <w:rFonts w:ascii="Arial" w:hAnsi="Arial" w:cs="Arial"/>
          <w:sz w:val="24"/>
          <w:szCs w:val="24"/>
          <w:vertAlign w:val="subscript"/>
        </w:rPr>
        <w:t>2</w:t>
      </w:r>
      <w:r w:rsidRPr="00680C7E">
        <w:rPr>
          <w:rFonts w:ascii="Arial" w:hAnsi="Arial" w:cs="Arial"/>
          <w:sz w:val="24"/>
          <w:szCs w:val="24"/>
        </w:rPr>
        <w:t>;</w:t>
      </w:r>
    </w:p>
    <w:p w14:paraId="3A84C75A" w14:textId="77777777" w:rsidR="00680C7E" w:rsidRPr="00680C7E" w:rsidRDefault="00680C7E" w:rsidP="00680C7E">
      <w:pPr>
        <w:numPr>
          <w:ilvl w:val="0"/>
          <w:numId w:val="2"/>
        </w:numPr>
        <w:spacing w:after="0" w:line="240" w:lineRule="auto"/>
        <w:jc w:val="both"/>
        <w:rPr>
          <w:rFonts w:ascii="Arial" w:hAnsi="Arial" w:cs="Arial"/>
          <w:sz w:val="24"/>
          <w:szCs w:val="24"/>
        </w:rPr>
      </w:pPr>
      <w:r w:rsidRPr="00680C7E">
        <w:rPr>
          <w:rFonts w:ascii="Arial" w:hAnsi="Arial" w:cs="Arial"/>
          <w:sz w:val="24"/>
          <w:szCs w:val="24"/>
        </w:rPr>
        <w:t>ocjena rizika i ranjivosti na klimatske promjene;</w:t>
      </w:r>
    </w:p>
    <w:p w14:paraId="12E0A73B" w14:textId="77777777" w:rsidR="00680C7E" w:rsidRDefault="00680C7E" w:rsidP="00680C7E">
      <w:pPr>
        <w:numPr>
          <w:ilvl w:val="0"/>
          <w:numId w:val="2"/>
        </w:numPr>
        <w:spacing w:after="0" w:line="240" w:lineRule="auto"/>
        <w:jc w:val="both"/>
        <w:rPr>
          <w:rFonts w:ascii="Arial" w:hAnsi="Arial" w:cs="Arial"/>
          <w:sz w:val="24"/>
          <w:szCs w:val="24"/>
        </w:rPr>
      </w:pPr>
      <w:r w:rsidRPr="00680C7E">
        <w:rPr>
          <w:rFonts w:ascii="Arial" w:hAnsi="Arial" w:cs="Arial"/>
          <w:sz w:val="24"/>
          <w:szCs w:val="24"/>
        </w:rPr>
        <w:t>identifikacija i odabir mogućih mjera prilagodbe na promatranom području po sektorima.</w:t>
      </w:r>
    </w:p>
    <w:p w14:paraId="3B921EB8" w14:textId="77777777" w:rsidR="00680C7E" w:rsidRDefault="00680C7E" w:rsidP="00680C7E">
      <w:pPr>
        <w:spacing w:after="0" w:line="240" w:lineRule="auto"/>
        <w:jc w:val="both"/>
        <w:rPr>
          <w:rFonts w:ascii="Arial" w:hAnsi="Arial" w:cs="Arial"/>
          <w:sz w:val="24"/>
          <w:szCs w:val="24"/>
        </w:rPr>
      </w:pPr>
    </w:p>
    <w:p w14:paraId="7FB56124" w14:textId="1E3CA9E3" w:rsidR="00680C7E" w:rsidRDefault="00680C7E" w:rsidP="00680C7E">
      <w:pPr>
        <w:spacing w:after="0" w:line="240" w:lineRule="auto"/>
        <w:jc w:val="both"/>
        <w:rPr>
          <w:rFonts w:ascii="Arial" w:hAnsi="Arial" w:cs="Arial"/>
          <w:sz w:val="24"/>
          <w:szCs w:val="24"/>
        </w:rPr>
      </w:pPr>
      <w:r>
        <w:rPr>
          <w:rFonts w:ascii="Arial" w:hAnsi="Arial" w:cs="Arial"/>
          <w:sz w:val="24"/>
          <w:szCs w:val="24"/>
        </w:rPr>
        <w:t xml:space="preserve">Usvajanjem ovog strateškogh dokumenta, Općina Podgora proširuje mogućnosti prijava na različite natječaje koji su vezani uz klimu, klimatske promjene, Europski zeleni plan, energetiku, zaštitu okoliša i slično. </w:t>
      </w:r>
    </w:p>
    <w:p w14:paraId="00B39AEF" w14:textId="77777777" w:rsidR="00680C7E" w:rsidRDefault="00680C7E" w:rsidP="00680C7E">
      <w:pPr>
        <w:spacing w:after="0" w:line="240" w:lineRule="auto"/>
        <w:jc w:val="both"/>
        <w:rPr>
          <w:rFonts w:ascii="Arial" w:hAnsi="Arial" w:cs="Arial"/>
          <w:sz w:val="24"/>
          <w:szCs w:val="24"/>
        </w:rPr>
      </w:pPr>
    </w:p>
    <w:p w14:paraId="393A4E57" w14:textId="60C8A7E3" w:rsidR="00680C7E" w:rsidRPr="00680C7E" w:rsidRDefault="00680C7E" w:rsidP="00680C7E">
      <w:pPr>
        <w:spacing w:after="0" w:line="240" w:lineRule="auto"/>
        <w:jc w:val="both"/>
        <w:rPr>
          <w:rFonts w:ascii="Arial" w:hAnsi="Arial" w:cs="Arial"/>
          <w:sz w:val="24"/>
          <w:szCs w:val="24"/>
        </w:rPr>
      </w:pPr>
      <w:r>
        <w:rPr>
          <w:rFonts w:ascii="Arial" w:hAnsi="Arial" w:cs="Arial"/>
          <w:sz w:val="24"/>
          <w:szCs w:val="24"/>
        </w:rPr>
        <w:t xml:space="preserve">Predlaže se Općinskom vijeću Općine Podgora usvajanje ovog strateškog dokumenta. </w:t>
      </w:r>
    </w:p>
    <w:sectPr w:rsidR="00680C7E" w:rsidRPr="00680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382"/>
    <w:multiLevelType w:val="hybridMultilevel"/>
    <w:tmpl w:val="6DB084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9851C5"/>
    <w:multiLevelType w:val="hybridMultilevel"/>
    <w:tmpl w:val="7E12D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82881908">
    <w:abstractNumId w:val="1"/>
  </w:num>
  <w:num w:numId="2" w16cid:durableId="48832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3B"/>
    <w:rsid w:val="001C2F3B"/>
    <w:rsid w:val="00680C7E"/>
    <w:rsid w:val="009B03DC"/>
    <w:rsid w:val="00B444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7424"/>
  <w15:chartTrackingRefBased/>
  <w15:docId w15:val="{1E4AC5F0-F8CB-4AB8-9F01-C566B17D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Čehko</dc:creator>
  <cp:keywords/>
  <dc:description/>
  <cp:lastModifiedBy>Marija Čehko</cp:lastModifiedBy>
  <cp:revision>1</cp:revision>
  <dcterms:created xsi:type="dcterms:W3CDTF">2024-01-30T13:02:00Z</dcterms:created>
  <dcterms:modified xsi:type="dcterms:W3CDTF">2024-01-30T13:24:00Z</dcterms:modified>
</cp:coreProperties>
</file>