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94dda5d0c6d49e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28549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OROSLAVJE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1.983.661,38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2.822.369,66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1.222.553,08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1.686.042,65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761.108,30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1.136.327,01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567.517,22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1.353.187,04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565.646,83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1.351.519,56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11.727,70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86.407,42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301.599,97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Financijski izvještaj za razdoblje 01.01.-30.06.2025. godine, razina 22, sastavljen je temeljem Novog Pravilnika o proračunskom računovodstvu i  Računskom planu (Narodne novine 158/23), Pravilnika o izmjenama i dopunama Pravilnika o proračunskom računovodstvu i Računskom planu (Narodne novine 154/24) te Okružnice Ministarstva financija o sastavljanju i predaji financijskih izvještaja proračuna, proračunskih i izvanproračunskih korisnika državnog proračuna te proračunskih i izvanproračunskih korisnika proračuna jedinica lokalne i područne (regionalne) samouprave za razdoblje od 1. siječnja do 30. lipnja 2025. i druge aktualnosti.  Razina 22 izvještaja znači da pored rashoda Jedinstvenog upravnog odjela izvještaj sadrži zajednički rashod iskazan na kontu 367 za proračunske korisnike – ustanove koji su financirane iz proračuna Grada - Dječji vrtić Cvrkutić i Gradska knjižnica Oroslavje. Otvoreno učilište Oroslavje ne posluje od početka 2024. godine te prema tom korisniku nisu transferirana sredstva. 
Obzirom na preneseni višak prihoda Grada Oroslavja iz prošle godine, ukupnog iznosa 2.431.599,22 EUR te manjak prihoda i primitaka ostvaren u ovom izvještajnom razdoblju iznosa 301.599,97 EUR, višak prihoda raspoloživ u sljedećem razdoblju iznosi 2.129.999,25 EUR.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1.640.577,57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2.087.327,40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bl>
    <w:p>
      <w:pPr>
        <w:spacing w:before="0" w:after="0"/>
      </w:pPr>
    </w:p>
    <w:p>
      <w:pPr>
        <w:jc w:val="both"/>
        <w:pStyle w:val="Normal"/>
        <w:spacing w:line="240" w:lineRule="auto"/>
      </w:pPr>
      <w:r>
        <w:rPr>
          <w:sz w:val="24"/>
          <w:rFonts w:ascii="Times New Roman" w:hAnsi="Times New Roman"/>
        </w:rPr>
        <w:t>Zabilježen porast prihoda od poreza uslijed rasta plaća te su evidentirani znatno veći prihodi od poreza na dohodak od dividendi i udjela u dobiti.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91.515,40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373.912,15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408,6</w:t>
            </w:r>
          </w:p>
        </w:tc>
      </w:tr>
    </w:tbl>
    <w:p>
      <w:pPr>
        <w:spacing w:before="0" w:after="0"/>
      </w:pPr>
    </w:p>
    <w:p>
      <w:pPr>
        <w:jc w:val="both"/>
        <w:pStyle w:val="Normal"/>
        <w:spacing w:line="240" w:lineRule="auto"/>
      </w:pPr>
      <w:r>
        <w:rPr>
          <w:sz w:val="24"/>
          <w:rFonts w:ascii="Times New Roman" w:hAnsi="Times New Roman"/>
        </w:rPr>
        <w:t>Ostvarene su veće pomoći iz državnog proračuna za fiskalnu održivost dječjih vrtića te je ostvarena pomoć iz državnog proračuna temeljem prijenosa EU sredstava za izgradnju područnog vrtića.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35.030,50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202,4</w:t>
            </w:r>
          </w:p>
        </w:tc>
      </w:tr>
    </w:tbl>
    <w:p>
      <w:pPr>
        <w:spacing w:before="0" w:after="0"/>
      </w:pPr>
    </w:p>
    <w:p>
      <w:pPr>
        <w:jc w:val="both"/>
        <w:pStyle w:val="Normal"/>
        <w:spacing w:line="240" w:lineRule="auto"/>
      </w:pPr>
      <w:r>
        <w:rPr>
          <w:sz w:val="24"/>
          <w:rFonts w:ascii="Times New Roman" w:hAnsi="Times New Roman"/>
        </w:rPr>
        <w:t>Ostvarene su veće kamate na oročena sredstva te je evidentiran veći prihod od zakupa poljoprivrednog zemljišta - po izvršenju Ugovora o zakupu uplaćena je naknada u cijelosti.</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203.471,86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289.733,59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bl>
    <w:p>
      <w:pPr>
        <w:spacing w:before="0" w:after="0"/>
      </w:pPr>
    </w:p>
    <w:p>
      <w:pPr>
        <w:jc w:val="both"/>
        <w:pStyle w:val="Normal"/>
        <w:spacing w:line="240" w:lineRule="auto"/>
      </w:pPr>
      <w:r>
        <w:rPr>
          <w:sz w:val="24"/>
          <w:rFonts w:ascii="Times New Roman" w:hAnsi="Times New Roman"/>
        </w:rPr>
        <w:t>Upućene su opomene za neplaćenu komunalnu naknadu te shodno tome evidentiran je porast tih prihoda uslijed njihove naplate.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w:t>
            </w:r>
          </w:p>
        </w:tc>
      </w:tr>
    </w:tbl>
    <w:p>
      <w:pPr>
        <w:spacing w:before="0" w:after="0"/>
      </w:pPr>
    </w:p>
    <w:p>
      <w:pPr>
        <w:jc w:val="both"/>
        <w:pStyle w:val="Normal"/>
        <w:spacing w:line="240" w:lineRule="auto"/>
      </w:pPr>
      <w:r>
        <w:rPr>
          <w:sz w:val="24"/>
          <w:rFonts w:ascii="Times New Roman" w:hAnsi="Times New Roman"/>
        </w:rPr>
        <w:t>Zaprimljena je jedna donacija za Advent u siječnju.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162.305,91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263.562,61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162,4</w:t>
            </w:r>
          </w:p>
        </w:tc>
      </w:tr>
    </w:tbl>
    <w:p>
      <w:pPr>
        <w:spacing w:before="0" w:after="0"/>
      </w:pPr>
    </w:p>
    <w:p>
      <w:pPr>
        <w:jc w:val="both"/>
        <w:pStyle w:val="Normal"/>
        <w:spacing w:line="240" w:lineRule="auto"/>
      </w:pPr>
      <w:r>
        <w:rPr>
          <w:sz w:val="24"/>
          <w:rFonts w:ascii="Times New Roman" w:hAnsi="Times New Roman"/>
        </w:rPr>
        <w:t>Evidentirani su veći rashodi za zaposlene uslijed rasta plaće dužnosnika i rasta osnovice za službenike i namještenike krajem 2024.
Prema izmjenama pravilnika prikazano je 7 rashoda za plaće (prosinac 2024 te siječanj-lipanj 2025).</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333,3</w:t>
            </w:r>
          </w:p>
        </w:tc>
      </w:tr>
    </w:tbl>
    <w:p>
      <w:pPr>
        <w:spacing w:before="0" w:after="0"/>
      </w:pPr>
    </w:p>
    <w:p>
      <w:pPr>
        <w:jc w:val="both"/>
        <w:pStyle w:val="Normal"/>
        <w:spacing w:line="240" w:lineRule="auto"/>
      </w:pPr>
      <w:r>
        <w:rPr>
          <w:sz w:val="24"/>
          <w:rFonts w:ascii="Times New Roman" w:hAnsi="Times New Roman"/>
        </w:rPr>
        <w:t>Evidentirano više rashoda uslijed provođenja radionica za djecu predškolske dobi i djecu I-IV razreda osnovne škole.</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758,0</w:t>
            </w:r>
          </w:p>
        </w:tc>
      </w:tr>
    </w:tbl>
    <w:p>
      <w:pPr>
        <w:spacing w:before="0" w:after="0"/>
      </w:pPr>
    </w:p>
    <w:p>
      <w:pPr>
        <w:jc w:val="both"/>
        <w:pStyle w:val="Normal"/>
        <w:spacing w:line="240" w:lineRule="auto"/>
      </w:pPr>
      <w:r>
        <w:rPr>
          <w:sz w:val="24"/>
          <w:rFonts w:ascii="Times New Roman" w:hAnsi="Times New Roman"/>
        </w:rPr>
        <w:t>Nabavljeno više sitnog inventara za redovno poslovanje.</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w:t>
            </w:r>
          </w:p>
        </w:tc>
      </w:tr>
    </w:tbl>
    <w:p>
      <w:pPr>
        <w:spacing w:before="0" w:after="0"/>
      </w:pPr>
    </w:p>
    <w:p>
      <w:pPr>
        <w:jc w:val="both"/>
        <w:pStyle w:val="Normal"/>
        <w:spacing w:line="240" w:lineRule="auto"/>
      </w:pPr>
      <w:r>
        <w:rPr>
          <w:sz w:val="24"/>
          <w:rFonts w:ascii="Times New Roman" w:hAnsi="Times New Roman"/>
        </w:rPr>
        <w:t>Smanjuju se kamate na dugoročni kredit za kapitalnu izgradnju.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w:t>
            </w:r>
          </w:p>
        </w:tc>
      </w:tr>
    </w:tbl>
    <w:p>
      <w:pPr>
        <w:spacing w:before="0" w:after="0"/>
      </w:pPr>
    </w:p>
    <w:p>
      <w:pPr>
        <w:jc w:val="both"/>
        <w:pStyle w:val="Normal"/>
        <w:spacing w:line="240" w:lineRule="auto"/>
      </w:pPr>
      <w:r>
        <w:rPr>
          <w:sz w:val="24"/>
          <w:rFonts w:ascii="Times New Roman" w:hAnsi="Times New Roman"/>
        </w:rPr>
        <w:t>Smanjenje subvencioniranja kamata za odobrene kredite malim i srednjim poduzetnicima sukladno obračunima županije.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105.346,13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1475,2</w:t>
            </w:r>
          </w:p>
        </w:tc>
      </w:tr>
    </w:tbl>
    <w:p>
      <w:pPr>
        <w:spacing w:before="0" w:after="0"/>
      </w:pPr>
    </w:p>
    <w:p>
      <w:pPr>
        <w:jc w:val="both"/>
        <w:pStyle w:val="Normal"/>
        <w:spacing w:line="240" w:lineRule="auto"/>
      </w:pPr>
      <w:r>
        <w:rPr>
          <w:sz w:val="24"/>
          <w:rFonts w:ascii="Times New Roman" w:hAnsi="Times New Roman"/>
        </w:rPr>
        <w:t>Povećanje uslijed promjene evidentiranja pomoći javnoj vatrogasnoj postrojbi te za upućivanje sredstava za potrebe provedbe lokalnih izbora.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83.917,23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45.986,72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w:t>
            </w:r>
          </w:p>
        </w:tc>
      </w:tr>
    </w:tbl>
    <w:p>
      <w:pPr>
        <w:spacing w:before="0" w:after="0"/>
      </w:pPr>
    </w:p>
    <w:p>
      <w:pPr>
        <w:jc w:val="both"/>
        <w:pStyle w:val="Normal"/>
        <w:spacing w:line="240" w:lineRule="auto"/>
      </w:pPr>
      <w:r>
        <w:rPr>
          <w:sz w:val="24"/>
          <w:rFonts w:ascii="Times New Roman" w:hAnsi="Times New Roman"/>
        </w:rPr>
        <w:t>Smanjenje uslijed promjene evidentiranja pomoći javnoj vatrogasnoj postrojbi.</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231.033,16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299.433,45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pPr>
        <w:jc w:val="both"/>
        <w:pStyle w:val="Normal"/>
        <w:spacing w:line="240" w:lineRule="auto"/>
      </w:pPr>
      <w:r>
        <w:rPr>
          <w:sz w:val="24"/>
          <w:rFonts w:ascii="Times New Roman" w:hAnsi="Times New Roman"/>
        </w:rPr>
        <w:t>Veći su prijenosi prema proračunskim korisnicima za redovnu djelatnost te dodatno uplaćena sredstva za nabavu klima uređaja u dječjem vrtiću.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200.853,13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245.032,92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pPr>
        <w:jc w:val="both"/>
        <w:pStyle w:val="Normal"/>
        <w:spacing w:line="240" w:lineRule="auto"/>
      </w:pPr>
      <w:r>
        <w:rPr>
          <w:sz w:val="24"/>
          <w:rFonts w:ascii="Times New Roman" w:hAnsi="Times New Roman"/>
        </w:rPr>
        <w:t>Evidentirane su veće pomoći prema građanima uslijed povećanih iznosa uskrsnica za umirovljenike i osobe s invaliditetom.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200.239,39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339.807,17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w:t>
            </w:r>
          </w:p>
        </w:tc>
      </w:tr>
    </w:tbl>
    <w:p>
      <w:pPr>
        <w:spacing w:before="0" w:after="0"/>
      </w:pPr>
    </w:p>
    <w:p>
      <w:pPr>
        <w:jc w:val="both"/>
        <w:pStyle w:val="Normal"/>
        <w:spacing w:line="240" w:lineRule="auto"/>
      </w:pPr>
      <w:r>
        <w:rPr>
          <w:sz w:val="24"/>
          <w:rFonts w:ascii="Times New Roman" w:hAnsi="Times New Roman"/>
        </w:rPr>
        <w:t>Veći rashodi za donacije zbog izmjena pravilnika i načina evidentiranja Ugovora o donaciji. Prikazan je ukupan iznos donacije iz ugovora prema Vatrogasnoj zajednici.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42.211,73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15.043,40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w:t>
            </w:r>
          </w:p>
        </w:tc>
      </w:tr>
    </w:tbl>
    <w:p>
      <w:pPr>
        <w:spacing w:before="0" w:after="0"/>
      </w:pPr>
    </w:p>
    <w:p>
      <w:pPr>
        <w:jc w:val="both"/>
        <w:pStyle w:val="Normal"/>
        <w:spacing w:line="240" w:lineRule="auto"/>
      </w:pPr>
      <w:r>
        <w:rPr>
          <w:sz w:val="24"/>
          <w:rFonts w:ascii="Times New Roman" w:hAnsi="Times New Roman"/>
        </w:rPr>
        <w:t>Neutrošeni prihodi 2024. iz izvora 5.1.6. Tekuće pomoći iz DP za provedbu edukativnih, kulturnih i sportskih aktivnosti djece predškolske dobi i djece I-IV razreda OŠ koji se namjenski koriste za pokriće troškova provođenja radionica u 2025. godini.</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209.188,46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704.703,00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336,9</w:t>
            </w:r>
          </w:p>
        </w:tc>
      </w:tr>
    </w:tbl>
    <w:p>
      <w:pPr>
        <w:spacing w:before="0" w:after="0"/>
      </w:pPr>
    </w:p>
    <w:p>
      <w:pPr>
        <w:jc w:val="both"/>
        <w:pStyle w:val="Normal"/>
        <w:spacing w:line="240" w:lineRule="auto"/>
      </w:pPr>
      <w:r>
        <w:rPr>
          <w:sz w:val="24"/>
          <w:rFonts w:ascii="Times New Roman" w:hAnsi="Times New Roman"/>
        </w:rPr>
        <w:t>Značajno povećanje uslijed evidentiranja podnesenih ZNS-ova po projektu Izgradnja i opremanje područnog vrtića temeljem privremenih situacija. </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522.861,74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1.195.758,89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228,7</w:t>
            </w:r>
          </w:p>
        </w:tc>
      </w:tr>
    </w:tbl>
    <w:p>
      <w:pPr>
        <w:spacing w:before="0" w:after="0"/>
      </w:pPr>
    </w:p>
    <w:p>
      <w:pPr>
        <w:jc w:val="both"/>
        <w:pStyle w:val="Normal"/>
        <w:spacing w:line="240" w:lineRule="auto"/>
      </w:pPr>
      <w:r>
        <w:rPr>
          <w:sz w:val="24"/>
          <w:rFonts w:ascii="Times New Roman" w:hAnsi="Times New Roman"/>
        </w:rPr>
        <w:t>Povećanje rashoda za nabavu proizvedene dugotrajne imovine ponajviše zbog provođenja projekta izgradnje i opremanja područnog vrtića, završetka projekta izgradnje reciklažnog dvorišta te ulaganja u dječja igrališta. </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44.655,48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157.428,15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352,5</w:t>
            </w:r>
          </w:p>
        </w:tc>
      </w:tr>
    </w:tbl>
    <w:p>
      <w:pPr>
        <w:spacing w:before="0" w:after="0"/>
      </w:pPr>
    </w:p>
    <w:p>
      <w:pPr>
        <w:jc w:val="both"/>
        <w:pStyle w:val="Normal"/>
        <w:spacing w:line="240" w:lineRule="auto"/>
      </w:pPr>
      <w:r>
        <w:rPr>
          <w:sz w:val="24"/>
          <w:rFonts w:ascii="Times New Roman" w:hAnsi="Times New Roman"/>
        </w:rPr>
        <w:t>Rashodi za dodatna ulaganja na nefinancijskoj imovini su u porastu zbog većih ulaganja u asfaltiranje, sanacije krovišta Gradske knjižnice i krovišta na društvenom domu Mokrice, dodatnih ulaganja na javnoj rasvjeti te na mrtvačnici. </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od nefinancijske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1.917.515,51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2.416.555,82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w:t>
            </w:r>
          </w:p>
        </w:tc>
      </w:tr>
    </w:tbl>
    <w:p>
      <w:pPr>
        <w:spacing w:before="0" w:after="0"/>
      </w:pPr>
    </w:p>
    <w:p>
      <w:pPr>
        <w:jc w:val="both"/>
        <w:pStyle w:val="Normal"/>
        <w:spacing w:line="240" w:lineRule="auto"/>
      </w:pPr>
      <w:r>
        <w:rPr>
          <w:sz w:val="24"/>
          <w:rFonts w:ascii="Times New Roman" w:hAnsi="Times New Roman"/>
        </w:rPr>
        <w:t>Višak prihoda od nefinancijske imovine 2024. koji se koristi za izgradnju i opremanje područnog vrtića Mokrice.</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736,8</w:t>
            </w:r>
          </w:p>
        </w:tc>
      </w:tr>
    </w:tbl>
    <w:p>
      <w:pPr>
        <w:spacing w:before="0" w:after="0"/>
      </w:pPr>
    </w:p>
    <w:p>
      <w:pPr>
        <w:jc w:val="both"/>
        <w:pStyle w:val="Normal"/>
        <w:spacing w:line="240" w:lineRule="auto"/>
      </w:pPr>
      <w:r>
        <w:rPr>
          <w:sz w:val="24"/>
          <w:rFonts w:ascii="Times New Roman" w:hAnsi="Times New Roman"/>
        </w:rPr>
        <w:t>Veći izdaci uslijed otplate glavnice dugoročnog kredita za kapitalnu izgradnju. Otplata je počela tek u 7. mjesecu 2024., samim time tih izdataka nije bilo u istom izvještajnom razdoblju prošle godine.</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15.705,33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Navedene dospjele obveze odnose se na sporne obveze za koje je u tijeku sudski spor. </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943.821,81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Nedospjele obveze odnose se na obveze za redovno poslovanje, na račune evidentirane u lipnju sa dospijećem u srpnju, plaću za lipanj te obveze po dugoročnom kreditu.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b37599d94584e94" /></Relationships>
</file>