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AB2AA3" w14:textId="77777777" w:rsidR="001C4242" w:rsidRDefault="00000000">
      <w:pPr>
        <w:pStyle w:val="Bezproreda"/>
        <w:jc w:val="both"/>
      </w:pPr>
      <w:r>
        <w:t xml:space="preserve">                               </w:t>
      </w:r>
      <w:bookmarkStart w:id="0" w:name="_Hlk34651683"/>
      <w:r>
        <w:rPr>
          <w:noProof/>
          <w:lang w:eastAsia="hr-HR"/>
        </w:rPr>
        <w:drawing>
          <wp:inline distT="0" distB="0" distL="0" distR="0" wp14:anchorId="480051DB" wp14:editId="4F511D6B">
            <wp:extent cx="600710" cy="762000"/>
            <wp:effectExtent l="0" t="0" r="8757" b="0"/>
            <wp:docPr id="1" name="grafik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e1"/>
                    <pic:cNvPicPr/>
                  </pic:nvPicPr>
                  <pic:blipFill>
                    <a:blip r:embed="rId8"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0843" cy="7621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 val="solid"/>
                    </a:ln>
                  </pic:spPr>
                </pic:pic>
              </a:graphicData>
            </a:graphic>
          </wp:inline>
        </w:drawing>
      </w:r>
      <w:r>
        <w:tab/>
      </w:r>
      <w:r>
        <w:tab/>
        <w:t xml:space="preserve">      </w:t>
      </w:r>
      <w:r>
        <w:tab/>
        <w:t xml:space="preserve">                  </w:t>
      </w:r>
      <w:r>
        <w:tab/>
      </w:r>
      <w:r>
        <w:tab/>
      </w:r>
      <w:r>
        <w:tab/>
      </w:r>
      <w:r>
        <w:tab/>
      </w:r>
    </w:p>
    <w:p w14:paraId="188F77E6" w14:textId="77777777" w:rsidR="001C4242" w:rsidRDefault="00000000">
      <w:pPr>
        <w:pStyle w:val="Bezproreda"/>
        <w:jc w:val="both"/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75E26A0F" wp14:editId="0A0BB9A3">
            <wp:simplePos x="0" y="0"/>
            <wp:positionH relativeFrom="column">
              <wp:posOffset>-68580</wp:posOffset>
            </wp:positionH>
            <wp:positionV relativeFrom="paragraph">
              <wp:posOffset>151765</wp:posOffset>
            </wp:positionV>
            <wp:extent cx="535305" cy="697230"/>
            <wp:effectExtent l="0" t="0" r="0" b="7529"/>
            <wp:wrapSquare wrapText="bothSides"/>
            <wp:docPr id="2" name="grafike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e4"/>
                    <pic:cNvPicPr/>
                  </pic:nvPicPr>
                  <pic:blipFill>
                    <a:blip r:embed="rId9"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5317" cy="69732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</w:p>
    <w:p w14:paraId="52F76D5F" w14:textId="77777777" w:rsidR="001C4242" w:rsidRDefault="00000000">
      <w:pPr>
        <w:pStyle w:val="Bezproreda"/>
        <w:jc w:val="both"/>
      </w:pPr>
      <w:r>
        <w:t xml:space="preserve">  REPUBLIKA HRVATSKA</w:t>
      </w:r>
    </w:p>
    <w:p w14:paraId="792BC5E7" w14:textId="77777777" w:rsidR="001C4242" w:rsidRDefault="00000000">
      <w:pPr>
        <w:pStyle w:val="Bezproreda"/>
        <w:jc w:val="both"/>
      </w:pPr>
      <w:r>
        <w:t>MEĐIMURSKA ŽUPANIJA</w:t>
      </w:r>
    </w:p>
    <w:p w14:paraId="1F541A71" w14:textId="77777777" w:rsidR="001C4242" w:rsidRDefault="00000000">
      <w:pPr>
        <w:pStyle w:val="Bezproreda"/>
        <w:jc w:val="both"/>
      </w:pPr>
      <w:r>
        <w:t xml:space="preserve">     OPĆINA ŠTRIGOVA</w:t>
      </w:r>
    </w:p>
    <w:p w14:paraId="78872DB3" w14:textId="77777777" w:rsidR="001C4242" w:rsidRDefault="001C4242">
      <w:pPr>
        <w:jc w:val="both"/>
        <w:rPr>
          <w:b/>
          <w:i/>
        </w:rPr>
      </w:pPr>
    </w:p>
    <w:p w14:paraId="74F12542" w14:textId="77777777" w:rsidR="001C4242" w:rsidRDefault="001C4242">
      <w:pPr>
        <w:jc w:val="both"/>
        <w:rPr>
          <w:b/>
          <w:i/>
        </w:rPr>
      </w:pPr>
    </w:p>
    <w:p w14:paraId="622F5148" w14:textId="2F9E6631" w:rsidR="001C4242" w:rsidRDefault="00000000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OBRAZLOŽENJE UZ POLUGODIŠNJI IZVJEŠTAJ O IZVRŠENJU PRORAČUNA OPĆINE ŠTRIGOVA ZA 202</w:t>
      </w:r>
      <w:r w:rsidR="00DF7E1C">
        <w:rPr>
          <w:b/>
          <w:i/>
          <w:sz w:val="24"/>
          <w:szCs w:val="24"/>
        </w:rPr>
        <w:t>4</w:t>
      </w:r>
      <w:r>
        <w:rPr>
          <w:b/>
          <w:i/>
          <w:sz w:val="24"/>
          <w:szCs w:val="24"/>
        </w:rPr>
        <w:t>. GODINU</w:t>
      </w:r>
    </w:p>
    <w:p w14:paraId="4C4E1E2F" w14:textId="77777777" w:rsidR="001C4242" w:rsidRDefault="001C4242">
      <w:pPr>
        <w:jc w:val="both"/>
        <w:rPr>
          <w:rFonts w:cstheme="minorHAnsi"/>
        </w:rPr>
      </w:pPr>
    </w:p>
    <w:p w14:paraId="6BE8C18B" w14:textId="127219BA" w:rsidR="001C4242" w:rsidRDefault="00000000">
      <w:pPr>
        <w:jc w:val="both"/>
        <w:rPr>
          <w:rFonts w:cstheme="minorHAnsi"/>
        </w:rPr>
      </w:pPr>
      <w:r>
        <w:rPr>
          <w:rFonts w:cstheme="minorHAnsi"/>
        </w:rPr>
        <w:tab/>
        <w:t>Sadržaj, donošenje i dostava polugodišnjeg izvještaja o izvršenju proračuna propisan je odredbama članaka 76. – 80. i 88. Zakona o proračunu (Narodne novine 144/21.) i Pravilnika o polugodišnjem i godišnjem izvještaju o izvršenju proračuna i financijskog plana (Narodne novine 85/23.). Polugodišnji izvještaj o izvršenju proračuna sadrži opći i posebni dio, obrazloženje i posebne izvještaje. Slijedom navedenog, polugodišnji izvještaj za 202</w:t>
      </w:r>
      <w:r w:rsidR="00FD4DF2">
        <w:rPr>
          <w:rFonts w:cstheme="minorHAnsi"/>
        </w:rPr>
        <w:t>4</w:t>
      </w:r>
      <w:r>
        <w:rPr>
          <w:rFonts w:cstheme="minorHAnsi"/>
        </w:rPr>
        <w:t>. godinu mora sadržavati slijedeće:</w:t>
      </w:r>
    </w:p>
    <w:p w14:paraId="5B55F4D8" w14:textId="77777777" w:rsidR="001C4242" w:rsidRDefault="00000000">
      <w:pPr>
        <w:jc w:val="both"/>
        <w:rPr>
          <w:rFonts w:cstheme="minorHAnsi"/>
        </w:rPr>
      </w:pPr>
      <w:r>
        <w:rPr>
          <w:rFonts w:cstheme="minorHAnsi"/>
          <w:b/>
        </w:rPr>
        <w:t>1.</w:t>
      </w:r>
      <w:r>
        <w:rPr>
          <w:rFonts w:cstheme="minorHAnsi"/>
        </w:rPr>
        <w:t xml:space="preserve">  </w:t>
      </w:r>
      <w:r>
        <w:rPr>
          <w:rFonts w:cstheme="minorHAnsi"/>
          <w:b/>
          <w:bCs/>
        </w:rPr>
        <w:t>Op</w:t>
      </w:r>
      <w:r>
        <w:rPr>
          <w:rFonts w:cstheme="minorHAnsi"/>
          <w:b/>
        </w:rPr>
        <w:t>ći dio polugodišnjeg izvještaja o izvršenju Proračuna</w:t>
      </w:r>
    </w:p>
    <w:p w14:paraId="0B9EEC59" w14:textId="77777777" w:rsidR="001C4242" w:rsidRDefault="00000000">
      <w:pPr>
        <w:pStyle w:val="Bezproreda"/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1.1. Sažetak Računa prihoda i rashoda i Računa financiranja </w:t>
      </w:r>
    </w:p>
    <w:p w14:paraId="6ADDB8B1" w14:textId="77777777" w:rsidR="001C4242" w:rsidRDefault="001C4242">
      <w:pPr>
        <w:pStyle w:val="Bezproreda"/>
        <w:rPr>
          <w:rFonts w:cstheme="minorHAnsi"/>
          <w:i/>
          <w:iCs/>
        </w:rPr>
      </w:pPr>
    </w:p>
    <w:p w14:paraId="57035E81" w14:textId="77777777" w:rsidR="001C4242" w:rsidRDefault="00000000">
      <w:pPr>
        <w:pStyle w:val="Bezproreda"/>
        <w:rPr>
          <w:rFonts w:cstheme="minorHAnsi"/>
          <w:i/>
          <w:iCs/>
        </w:rPr>
      </w:pPr>
      <w:bookmarkStart w:id="1" w:name="_Hlk145504518"/>
      <w:r>
        <w:rPr>
          <w:rFonts w:cstheme="minorHAnsi"/>
          <w:i/>
          <w:iCs/>
        </w:rPr>
        <w:t>1.2. Račun prihoda i rashoda</w:t>
      </w:r>
      <w:bookmarkEnd w:id="1"/>
      <w:r>
        <w:rPr>
          <w:rFonts w:cstheme="minorHAnsi"/>
          <w:i/>
          <w:iCs/>
        </w:rPr>
        <w:t xml:space="preserve">,   </w:t>
      </w:r>
    </w:p>
    <w:p w14:paraId="374D4C9C" w14:textId="77777777" w:rsidR="001C4242" w:rsidRDefault="00000000">
      <w:pPr>
        <w:pStyle w:val="Bezproreda"/>
        <w:rPr>
          <w:rFonts w:cstheme="minorHAnsi"/>
        </w:rPr>
      </w:pPr>
      <w:r>
        <w:rPr>
          <w:rFonts w:cstheme="minorHAnsi"/>
        </w:rPr>
        <w:t>- Izvještaj o prihodima i rashodima prema ekonomskoj klasifikaciji,</w:t>
      </w:r>
    </w:p>
    <w:p w14:paraId="2B80DD08" w14:textId="77777777" w:rsidR="001C4242" w:rsidRDefault="00000000">
      <w:pPr>
        <w:pStyle w:val="Bezproreda"/>
        <w:rPr>
          <w:rFonts w:cstheme="minorHAnsi"/>
        </w:rPr>
      </w:pPr>
      <w:r>
        <w:rPr>
          <w:rFonts w:cstheme="minorHAnsi"/>
        </w:rPr>
        <w:t>- Izvještaj o prihodima i rashodima prema izvorima financiranja,</w:t>
      </w:r>
    </w:p>
    <w:p w14:paraId="09AC4604" w14:textId="77777777" w:rsidR="001C4242" w:rsidRDefault="00000000">
      <w:pPr>
        <w:pStyle w:val="Bezproreda"/>
        <w:rPr>
          <w:rFonts w:cstheme="minorHAnsi"/>
        </w:rPr>
      </w:pPr>
      <w:r>
        <w:rPr>
          <w:rFonts w:cstheme="minorHAnsi"/>
        </w:rPr>
        <w:t>- Izvještaj o rashodima prema funkcijskoj klasifikaciji.</w:t>
      </w:r>
    </w:p>
    <w:p w14:paraId="3106AD38" w14:textId="77777777" w:rsidR="001C4242" w:rsidRDefault="001C4242">
      <w:pPr>
        <w:pStyle w:val="Bezproreda"/>
        <w:rPr>
          <w:rFonts w:cstheme="minorHAnsi"/>
        </w:rPr>
      </w:pPr>
    </w:p>
    <w:p w14:paraId="683005CC" w14:textId="77777777" w:rsidR="001C4242" w:rsidRDefault="00000000">
      <w:pPr>
        <w:pStyle w:val="Bezproreda"/>
        <w:rPr>
          <w:rFonts w:cstheme="minorHAnsi"/>
        </w:rPr>
      </w:pPr>
      <w:r>
        <w:rPr>
          <w:rFonts w:cstheme="minorHAnsi"/>
          <w:i/>
          <w:iCs/>
        </w:rPr>
        <w:t>1.3. Račun financiranja</w:t>
      </w:r>
      <w:r>
        <w:rPr>
          <w:rFonts w:cstheme="minorHAnsi"/>
        </w:rPr>
        <w:t>,</w:t>
      </w:r>
    </w:p>
    <w:p w14:paraId="155B55C1" w14:textId="77777777" w:rsidR="001C4242" w:rsidRDefault="00000000">
      <w:pPr>
        <w:pStyle w:val="Bezproreda"/>
        <w:rPr>
          <w:rFonts w:cstheme="minorHAnsi"/>
        </w:rPr>
      </w:pPr>
      <w:r>
        <w:rPr>
          <w:rFonts w:cstheme="minorHAnsi"/>
        </w:rPr>
        <w:t>- Izvještaj računa financiranja prema ekonomskoj klasifikaciji,</w:t>
      </w:r>
    </w:p>
    <w:p w14:paraId="6BF57D24" w14:textId="77777777" w:rsidR="001C4242" w:rsidRDefault="00000000">
      <w:pPr>
        <w:pStyle w:val="Bezproreda"/>
        <w:rPr>
          <w:rFonts w:cstheme="minorHAnsi"/>
        </w:rPr>
      </w:pPr>
      <w:r>
        <w:rPr>
          <w:rFonts w:cstheme="minorHAnsi"/>
        </w:rPr>
        <w:t xml:space="preserve">- Izvještaj računa financiranja prema izvorima financiranja. </w:t>
      </w:r>
    </w:p>
    <w:p w14:paraId="43CEB87A" w14:textId="77777777" w:rsidR="001C4242" w:rsidRDefault="001C4242">
      <w:pPr>
        <w:pStyle w:val="Bezproreda"/>
        <w:rPr>
          <w:rFonts w:cstheme="minorHAnsi"/>
        </w:rPr>
      </w:pPr>
    </w:p>
    <w:p w14:paraId="6C87F776" w14:textId="77777777" w:rsidR="001C4242" w:rsidRDefault="00000000">
      <w:pPr>
        <w:jc w:val="both"/>
        <w:rPr>
          <w:rFonts w:cstheme="minorHAnsi"/>
        </w:rPr>
      </w:pPr>
      <w:r>
        <w:rPr>
          <w:rFonts w:cstheme="minorHAnsi"/>
          <w:b/>
        </w:rPr>
        <w:t>2.</w:t>
      </w:r>
      <w:r>
        <w:rPr>
          <w:rFonts w:cstheme="minorHAnsi"/>
        </w:rPr>
        <w:t xml:space="preserve">  </w:t>
      </w:r>
      <w:r>
        <w:rPr>
          <w:rFonts w:cstheme="minorHAnsi"/>
          <w:b/>
          <w:bCs/>
        </w:rPr>
        <w:t>Po</w:t>
      </w:r>
      <w:r>
        <w:rPr>
          <w:rFonts w:cstheme="minorHAnsi"/>
          <w:b/>
        </w:rPr>
        <w:t>sebni dio polugodišnjeg izvještaja o izvršenju proračuna</w:t>
      </w:r>
      <w:r>
        <w:rPr>
          <w:rFonts w:cstheme="minorHAnsi"/>
        </w:rPr>
        <w:t xml:space="preserve"> </w:t>
      </w:r>
    </w:p>
    <w:p w14:paraId="372D4D39" w14:textId="77777777" w:rsidR="001C4242" w:rsidRDefault="00000000">
      <w:pPr>
        <w:pStyle w:val="Bezproreda"/>
        <w:rPr>
          <w:rFonts w:cstheme="minorHAnsi"/>
        </w:rPr>
      </w:pPr>
      <w:r>
        <w:rPr>
          <w:rFonts w:cstheme="minorHAnsi"/>
        </w:rPr>
        <w:t>- izvještaj po organizacijskoj klasifikaciji,</w:t>
      </w:r>
    </w:p>
    <w:p w14:paraId="5FF85826" w14:textId="77777777" w:rsidR="001C4242" w:rsidRDefault="00000000">
      <w:pPr>
        <w:pStyle w:val="Bezproreda"/>
        <w:rPr>
          <w:rFonts w:cstheme="minorHAnsi"/>
        </w:rPr>
      </w:pPr>
      <w:r>
        <w:rPr>
          <w:rFonts w:cstheme="minorHAnsi"/>
        </w:rPr>
        <w:t>- izvještaj po programskoj klasifikaciji.</w:t>
      </w:r>
    </w:p>
    <w:p w14:paraId="555A9ED7" w14:textId="77777777" w:rsidR="001C4242" w:rsidRDefault="001C4242">
      <w:pPr>
        <w:jc w:val="both"/>
        <w:rPr>
          <w:rFonts w:cstheme="minorHAnsi"/>
          <w:b/>
        </w:rPr>
      </w:pPr>
    </w:p>
    <w:p w14:paraId="108C93AC" w14:textId="77777777" w:rsidR="001C4242" w:rsidRDefault="00000000">
      <w:pPr>
        <w:pStyle w:val="Bezproreda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3. Obrazloženje polugodišnjeg izvještaja o izvršenju proračuna</w:t>
      </w:r>
    </w:p>
    <w:p w14:paraId="7C09E0BB" w14:textId="77777777" w:rsidR="001C4242" w:rsidRDefault="001C4242">
      <w:pPr>
        <w:pStyle w:val="Bezproreda"/>
        <w:rPr>
          <w:rFonts w:cstheme="minorHAnsi"/>
          <w:b/>
          <w:bCs/>
        </w:rPr>
      </w:pPr>
    </w:p>
    <w:p w14:paraId="21FF6F6E" w14:textId="77777777" w:rsidR="001C4242" w:rsidRDefault="00000000">
      <w:pPr>
        <w:pStyle w:val="Bezproreda"/>
        <w:rPr>
          <w:rFonts w:cstheme="minorHAnsi"/>
          <w:i/>
          <w:iCs/>
        </w:rPr>
      </w:pPr>
      <w:r>
        <w:rPr>
          <w:rFonts w:cstheme="minorHAnsi"/>
          <w:i/>
          <w:iCs/>
        </w:rPr>
        <w:t>3.1. Obrazloženje općeg dijela izvještaja o izvršenju proračuna,</w:t>
      </w:r>
    </w:p>
    <w:p w14:paraId="5F628E6C" w14:textId="77777777" w:rsidR="001C4242" w:rsidRDefault="00000000">
      <w:pPr>
        <w:pStyle w:val="Bezproreda"/>
        <w:rPr>
          <w:rFonts w:cstheme="minorHAnsi"/>
          <w:i/>
          <w:iCs/>
        </w:rPr>
      </w:pPr>
      <w:r>
        <w:rPr>
          <w:rFonts w:cstheme="minorHAnsi"/>
          <w:i/>
          <w:iCs/>
        </w:rPr>
        <w:t>3.2. Obrazloženje posebnog dijela izvještaja o izvršenju proračuna.</w:t>
      </w:r>
    </w:p>
    <w:p w14:paraId="62FEBFAA" w14:textId="77777777" w:rsidR="001C4242" w:rsidRDefault="001C4242">
      <w:pPr>
        <w:pStyle w:val="Bezproreda"/>
        <w:rPr>
          <w:rFonts w:cstheme="minorHAnsi"/>
        </w:rPr>
      </w:pPr>
    </w:p>
    <w:p w14:paraId="620BD551" w14:textId="77777777" w:rsidR="001C4242" w:rsidRDefault="00000000">
      <w:pPr>
        <w:pStyle w:val="Bezproreda"/>
        <w:rPr>
          <w:rFonts w:cstheme="minorHAnsi"/>
          <w:b/>
          <w:bCs/>
        </w:rPr>
      </w:pPr>
      <w:r>
        <w:rPr>
          <w:rFonts w:cstheme="minorHAnsi"/>
          <w:b/>
          <w:bCs/>
        </w:rPr>
        <w:t>4. Izvještaj o korištenju proračunske zalihe</w:t>
      </w:r>
    </w:p>
    <w:p w14:paraId="7B03683A" w14:textId="77777777" w:rsidR="001C4242" w:rsidRDefault="001C4242">
      <w:pPr>
        <w:pStyle w:val="Bezproreda"/>
        <w:rPr>
          <w:rFonts w:cstheme="minorHAnsi"/>
          <w:b/>
          <w:bCs/>
        </w:rPr>
      </w:pPr>
    </w:p>
    <w:p w14:paraId="4CC2772D" w14:textId="77777777" w:rsidR="001C4242" w:rsidRDefault="00000000">
      <w:pPr>
        <w:pStyle w:val="Bezproreda"/>
        <w:rPr>
          <w:rFonts w:cstheme="minorHAnsi"/>
          <w:b/>
          <w:bCs/>
        </w:rPr>
      </w:pPr>
      <w:r>
        <w:rPr>
          <w:rFonts w:cstheme="minorHAnsi"/>
          <w:b/>
          <w:bCs/>
        </w:rPr>
        <w:t>5. Izvještaj o zaduživanju na domaćem i stranom tržištu novca i kapitala</w:t>
      </w:r>
    </w:p>
    <w:p w14:paraId="5B62C7CC" w14:textId="77777777" w:rsidR="001C4242" w:rsidRDefault="001C4242">
      <w:pPr>
        <w:pStyle w:val="Bezproreda"/>
        <w:rPr>
          <w:rFonts w:cstheme="minorHAnsi"/>
          <w:b/>
          <w:bCs/>
        </w:rPr>
      </w:pPr>
    </w:p>
    <w:p w14:paraId="7797BDC4" w14:textId="77777777" w:rsidR="001C4242" w:rsidRDefault="00000000">
      <w:pPr>
        <w:pStyle w:val="Bezproreda"/>
        <w:rPr>
          <w:rFonts w:cstheme="minorHAnsi"/>
          <w:b/>
          <w:bCs/>
        </w:rPr>
      </w:pPr>
      <w:r>
        <w:rPr>
          <w:rFonts w:cstheme="minorHAnsi"/>
          <w:b/>
          <w:bCs/>
        </w:rPr>
        <w:t>6.  Izvještaj o danim jamstvima i plaćanjima po protestiranim jamstvima</w:t>
      </w:r>
    </w:p>
    <w:p w14:paraId="1357EE2F" w14:textId="77777777" w:rsidR="001C4242" w:rsidRDefault="001C4242">
      <w:pPr>
        <w:pStyle w:val="Bezproreda"/>
        <w:rPr>
          <w:rFonts w:cstheme="minorHAnsi"/>
          <w:b/>
          <w:bCs/>
        </w:rPr>
      </w:pPr>
    </w:p>
    <w:p w14:paraId="2F593CCB" w14:textId="77777777" w:rsidR="001C4242" w:rsidRDefault="00000000">
      <w:pPr>
        <w:pStyle w:val="Bezproreda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D7E08AC" w14:textId="77777777" w:rsidR="001C4242" w:rsidRDefault="001C4242">
      <w:pPr>
        <w:pStyle w:val="Bezproreda"/>
        <w:rPr>
          <w:rFonts w:cstheme="minorHAnsi"/>
        </w:rPr>
      </w:pPr>
    </w:p>
    <w:p w14:paraId="371F688E" w14:textId="77777777" w:rsidR="001C4242" w:rsidRDefault="001C4242">
      <w:pPr>
        <w:jc w:val="both"/>
        <w:rPr>
          <w:rFonts w:cstheme="minorHAnsi"/>
          <w:b/>
        </w:rPr>
      </w:pPr>
    </w:p>
    <w:p w14:paraId="4AFAE0A8" w14:textId="77777777" w:rsidR="001C4242" w:rsidRDefault="00000000">
      <w:pPr>
        <w:jc w:val="both"/>
        <w:rPr>
          <w:rFonts w:cstheme="minorHAnsi"/>
          <w:b/>
        </w:rPr>
      </w:pPr>
      <w:r>
        <w:rPr>
          <w:rFonts w:cstheme="minorHAnsi"/>
          <w:b/>
        </w:rPr>
        <w:t>1. OPĆI DIO P0LUGODIŠNJEG IZVJEŠTAJA O IZVRŠENJU PRORAČUNA</w:t>
      </w:r>
    </w:p>
    <w:p w14:paraId="15897B67" w14:textId="77777777" w:rsidR="001C4242" w:rsidRDefault="00000000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1.1. Sažetak Računa prihoda i rashoda i Računa financiranja</w:t>
      </w:r>
    </w:p>
    <w:p w14:paraId="564FE73F" w14:textId="002EB27E" w:rsidR="001C4242" w:rsidRDefault="00000000">
      <w:pPr>
        <w:jc w:val="both"/>
        <w:rPr>
          <w:rFonts w:cstheme="minorHAnsi"/>
        </w:rPr>
      </w:pPr>
      <w:r>
        <w:rPr>
          <w:rFonts w:cstheme="minorHAnsi"/>
        </w:rPr>
        <w:t xml:space="preserve">Iz sažetka Računa prihoda i rashoda   vidljivo je da su u  izvještajnom razdoblju ostvareni  prihodi u iznosu od </w:t>
      </w:r>
      <w:r w:rsidR="00FD4DF2">
        <w:rPr>
          <w:rFonts w:cstheme="minorHAnsi"/>
        </w:rPr>
        <w:t>886.457,43</w:t>
      </w:r>
      <w:r>
        <w:rPr>
          <w:rFonts w:cstheme="minorHAnsi"/>
        </w:rPr>
        <w:t xml:space="preserve"> eura ili  </w:t>
      </w:r>
      <w:r w:rsidR="00FD4DF2">
        <w:rPr>
          <w:rFonts w:cstheme="minorHAnsi"/>
        </w:rPr>
        <w:t>79</w:t>
      </w:r>
      <w:r>
        <w:rPr>
          <w:rFonts w:cstheme="minorHAnsi"/>
        </w:rPr>
        <w:t>,</w:t>
      </w:r>
      <w:r w:rsidR="00FD4DF2">
        <w:rPr>
          <w:rFonts w:cstheme="minorHAnsi"/>
        </w:rPr>
        <w:t>80</w:t>
      </w:r>
      <w:r>
        <w:rPr>
          <w:rFonts w:cstheme="minorHAnsi"/>
        </w:rPr>
        <w:t>% u odnosu na ostvarenje 1-6/202</w:t>
      </w:r>
      <w:r w:rsidR="00FD4DF2">
        <w:rPr>
          <w:rFonts w:cstheme="minorHAnsi"/>
        </w:rPr>
        <w:t>3</w:t>
      </w:r>
      <w:r>
        <w:rPr>
          <w:rFonts w:cstheme="minorHAnsi"/>
        </w:rPr>
        <w:t>. i 42,</w:t>
      </w:r>
      <w:r w:rsidR="00FD4DF2">
        <w:rPr>
          <w:rFonts w:cstheme="minorHAnsi"/>
        </w:rPr>
        <w:t>66</w:t>
      </w:r>
      <w:r>
        <w:rPr>
          <w:rFonts w:cstheme="minorHAnsi"/>
        </w:rPr>
        <w:t xml:space="preserve"> % u odnosu na godišnji plan za 202</w:t>
      </w:r>
      <w:r w:rsidR="00FD4DF2">
        <w:rPr>
          <w:rFonts w:cstheme="minorHAnsi"/>
        </w:rPr>
        <w:t>4</w:t>
      </w:r>
      <w:r>
        <w:rPr>
          <w:rFonts w:cstheme="minorHAnsi"/>
        </w:rPr>
        <w:t xml:space="preserve">. godinu, a rashodi realizirani u iznosu od </w:t>
      </w:r>
      <w:r w:rsidR="00FD4DF2">
        <w:rPr>
          <w:rFonts w:cstheme="minorHAnsi"/>
        </w:rPr>
        <w:t>1.156.4</w:t>
      </w:r>
      <w:r w:rsidR="00025E75">
        <w:rPr>
          <w:rFonts w:cstheme="minorHAnsi"/>
        </w:rPr>
        <w:t>72</w:t>
      </w:r>
      <w:r w:rsidR="00FD4DF2">
        <w:rPr>
          <w:rFonts w:cstheme="minorHAnsi"/>
        </w:rPr>
        <w:t>,</w:t>
      </w:r>
      <w:r w:rsidR="00025E75">
        <w:rPr>
          <w:rFonts w:cstheme="minorHAnsi"/>
        </w:rPr>
        <w:t>70</w:t>
      </w:r>
      <w:r>
        <w:rPr>
          <w:rFonts w:cstheme="minorHAnsi"/>
        </w:rPr>
        <w:t xml:space="preserve"> eura ili 1</w:t>
      </w:r>
      <w:r w:rsidR="00FD4DF2">
        <w:rPr>
          <w:rFonts w:cstheme="minorHAnsi"/>
        </w:rPr>
        <w:t>17</w:t>
      </w:r>
      <w:r>
        <w:rPr>
          <w:rFonts w:cstheme="minorHAnsi"/>
        </w:rPr>
        <w:t>,</w:t>
      </w:r>
      <w:r w:rsidR="00FD4DF2">
        <w:rPr>
          <w:rFonts w:cstheme="minorHAnsi"/>
        </w:rPr>
        <w:t>64</w:t>
      </w:r>
      <w:r>
        <w:rPr>
          <w:rFonts w:cstheme="minorHAnsi"/>
        </w:rPr>
        <w:t>% u odnosu na izvršenje 1-6/202</w:t>
      </w:r>
      <w:r w:rsidR="00FD4DF2">
        <w:rPr>
          <w:rFonts w:cstheme="minorHAnsi"/>
        </w:rPr>
        <w:t>3</w:t>
      </w:r>
      <w:r>
        <w:rPr>
          <w:rFonts w:cstheme="minorHAnsi"/>
        </w:rPr>
        <w:t>. i 3</w:t>
      </w:r>
      <w:r w:rsidR="00FD4DF2">
        <w:rPr>
          <w:rFonts w:cstheme="minorHAnsi"/>
        </w:rPr>
        <w:t>7</w:t>
      </w:r>
      <w:r>
        <w:rPr>
          <w:rFonts w:cstheme="minorHAnsi"/>
        </w:rPr>
        <w:t>,</w:t>
      </w:r>
      <w:r w:rsidR="00FD4DF2">
        <w:rPr>
          <w:rFonts w:cstheme="minorHAnsi"/>
        </w:rPr>
        <w:t>57</w:t>
      </w:r>
      <w:r>
        <w:rPr>
          <w:rFonts w:cstheme="minorHAnsi"/>
        </w:rPr>
        <w:t>% u odnosu na godišnji plan za 202</w:t>
      </w:r>
      <w:r w:rsidR="00FD4DF2">
        <w:rPr>
          <w:rFonts w:cstheme="minorHAnsi"/>
        </w:rPr>
        <w:t>4</w:t>
      </w:r>
      <w:r>
        <w:rPr>
          <w:rFonts w:cstheme="minorHAnsi"/>
        </w:rPr>
        <w:t xml:space="preserve">. godinu. Razlika ukupnih prihoda i ukupnih rashoda za polugodišnje razdoblje iznosi </w:t>
      </w:r>
      <w:r w:rsidR="00FD4DF2">
        <w:rPr>
          <w:rFonts w:cstheme="minorHAnsi"/>
        </w:rPr>
        <w:t>-270</w:t>
      </w:r>
      <w:r>
        <w:rPr>
          <w:rFonts w:cstheme="minorHAnsi"/>
        </w:rPr>
        <w:t>.</w:t>
      </w:r>
      <w:r w:rsidR="00FD4DF2">
        <w:rPr>
          <w:rFonts w:cstheme="minorHAnsi"/>
        </w:rPr>
        <w:t>01</w:t>
      </w:r>
      <w:r w:rsidR="00025E75">
        <w:rPr>
          <w:rFonts w:cstheme="minorHAnsi"/>
        </w:rPr>
        <w:t>5</w:t>
      </w:r>
      <w:r>
        <w:rPr>
          <w:rFonts w:cstheme="minorHAnsi"/>
        </w:rPr>
        <w:t>,</w:t>
      </w:r>
      <w:r w:rsidR="00025E75">
        <w:rPr>
          <w:rFonts w:cstheme="minorHAnsi"/>
        </w:rPr>
        <w:t>27</w:t>
      </w:r>
      <w:r>
        <w:rPr>
          <w:rFonts w:cstheme="minorHAnsi"/>
        </w:rPr>
        <w:t xml:space="preserve"> eura.</w:t>
      </w:r>
    </w:p>
    <w:p w14:paraId="52674B01" w14:textId="044B494F" w:rsidR="001C4242" w:rsidRDefault="00000000">
      <w:pPr>
        <w:jc w:val="both"/>
        <w:rPr>
          <w:rFonts w:cstheme="minorHAnsi"/>
        </w:rPr>
      </w:pPr>
      <w:r>
        <w:rPr>
          <w:rFonts w:cstheme="minorHAnsi"/>
        </w:rPr>
        <w:t>Iz sažetka Računa financiranja vidljivo je da u izvještajnom razdoblju</w:t>
      </w:r>
      <w:r w:rsidR="00FD4DF2">
        <w:rPr>
          <w:rFonts w:cstheme="minorHAnsi"/>
        </w:rPr>
        <w:t xml:space="preserve"> nije bilo</w:t>
      </w:r>
      <w:r>
        <w:rPr>
          <w:rFonts w:cstheme="minorHAnsi"/>
        </w:rPr>
        <w:t xml:space="preserve"> izda</w:t>
      </w:r>
      <w:r w:rsidR="00FD4DF2">
        <w:rPr>
          <w:rFonts w:cstheme="minorHAnsi"/>
        </w:rPr>
        <w:t>taka</w:t>
      </w:r>
      <w:r>
        <w:rPr>
          <w:rFonts w:cstheme="minorHAnsi"/>
        </w:rPr>
        <w:t xml:space="preserve"> za financijsku imovinu i otplate zajmova</w:t>
      </w:r>
      <w:r w:rsidR="00FD4DF2">
        <w:rPr>
          <w:rFonts w:cstheme="minorHAnsi"/>
        </w:rPr>
        <w:t>, dok su izvještajnom razdoblju prethodne godine izdaci iznosili 192.020,16 eura.</w:t>
      </w:r>
    </w:p>
    <w:p w14:paraId="5FB54D83" w14:textId="37F0369F" w:rsidR="001C4242" w:rsidRDefault="00000000">
      <w:pPr>
        <w:jc w:val="both"/>
        <w:rPr>
          <w:rFonts w:cstheme="minorHAnsi"/>
        </w:rPr>
      </w:pPr>
      <w:r>
        <w:rPr>
          <w:rFonts w:cstheme="minorHAnsi"/>
        </w:rPr>
        <w:t>Godišnjim izvještajem o izvršenju proračuna za 202</w:t>
      </w:r>
      <w:r w:rsidR="00FD4DF2">
        <w:rPr>
          <w:rFonts w:cstheme="minorHAnsi"/>
        </w:rPr>
        <w:t>3</w:t>
      </w:r>
      <w:r>
        <w:rPr>
          <w:rFonts w:cstheme="minorHAnsi"/>
        </w:rPr>
        <w:t>. godinu ostvaren je višak u iznosu od 1.</w:t>
      </w:r>
      <w:r w:rsidR="00FD4DF2">
        <w:rPr>
          <w:rFonts w:cstheme="minorHAnsi"/>
        </w:rPr>
        <w:t>373.280,05</w:t>
      </w:r>
      <w:r>
        <w:rPr>
          <w:rFonts w:cstheme="minorHAnsi"/>
        </w:rPr>
        <w:t xml:space="preserve"> eura, </w:t>
      </w:r>
      <w:r w:rsidR="00673DE5">
        <w:rPr>
          <w:rFonts w:cstheme="minorHAnsi"/>
        </w:rPr>
        <w:t>manjak za polugodišnje razdoblje tekuće godine iznosi 270.01</w:t>
      </w:r>
      <w:r w:rsidR="00025E75">
        <w:rPr>
          <w:rFonts w:cstheme="minorHAnsi"/>
        </w:rPr>
        <w:t>5</w:t>
      </w:r>
      <w:r w:rsidR="00673DE5">
        <w:rPr>
          <w:rFonts w:cstheme="minorHAnsi"/>
        </w:rPr>
        <w:t>,</w:t>
      </w:r>
      <w:r w:rsidR="00025E75">
        <w:rPr>
          <w:rFonts w:cstheme="minorHAnsi"/>
        </w:rPr>
        <w:t>27</w:t>
      </w:r>
      <w:r w:rsidR="00673DE5">
        <w:rPr>
          <w:rFonts w:cstheme="minorHAnsi"/>
        </w:rPr>
        <w:t xml:space="preserve"> eura, </w:t>
      </w:r>
      <w:r>
        <w:rPr>
          <w:rFonts w:cstheme="minorHAnsi"/>
        </w:rPr>
        <w:t>tako da preneseni višak u  slijedeće razdoblje iznosi  1.</w:t>
      </w:r>
      <w:r w:rsidR="00673DE5">
        <w:rPr>
          <w:rFonts w:cstheme="minorHAnsi"/>
        </w:rPr>
        <w:t>103</w:t>
      </w:r>
      <w:r>
        <w:rPr>
          <w:rFonts w:cstheme="minorHAnsi"/>
        </w:rPr>
        <w:t>.</w:t>
      </w:r>
      <w:r w:rsidR="00673DE5">
        <w:rPr>
          <w:rFonts w:cstheme="minorHAnsi"/>
        </w:rPr>
        <w:t>26</w:t>
      </w:r>
      <w:r w:rsidR="00025E75">
        <w:rPr>
          <w:rFonts w:cstheme="minorHAnsi"/>
        </w:rPr>
        <w:t>4</w:t>
      </w:r>
      <w:r>
        <w:rPr>
          <w:rFonts w:cstheme="minorHAnsi"/>
        </w:rPr>
        <w:t>,</w:t>
      </w:r>
      <w:r w:rsidR="00025E75">
        <w:rPr>
          <w:rFonts w:cstheme="minorHAnsi"/>
        </w:rPr>
        <w:t>78</w:t>
      </w:r>
      <w:r>
        <w:rPr>
          <w:rFonts w:cstheme="minorHAnsi"/>
        </w:rPr>
        <w:t xml:space="preserve"> eura.      </w:t>
      </w:r>
    </w:p>
    <w:p w14:paraId="496B86DC" w14:textId="77777777" w:rsidR="001C4242" w:rsidRDefault="00000000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1.2. Račun prihoda i rashoda</w:t>
      </w:r>
    </w:p>
    <w:p w14:paraId="3D2191D2" w14:textId="77777777" w:rsidR="001C4242" w:rsidRDefault="00000000">
      <w:pPr>
        <w:jc w:val="both"/>
        <w:rPr>
          <w:rFonts w:cstheme="minorHAnsi"/>
        </w:rPr>
      </w:pPr>
      <w:r>
        <w:rPr>
          <w:rFonts w:cstheme="minorHAnsi"/>
        </w:rPr>
        <w:t xml:space="preserve">Sukladno gore navedenom Pravilniku Račun prihoda i rashoda sadrži prikaz prihoda i rashoda i iskazuje se prema proračunskim klasifikacijama u izvještajima: </w:t>
      </w:r>
    </w:p>
    <w:p w14:paraId="4BE3EE58" w14:textId="77777777" w:rsidR="001C4242" w:rsidRDefault="00000000">
      <w:pPr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Izvještaj o prihodima i rashodima prema ekonomskoj klasifikaciji,</w:t>
      </w:r>
    </w:p>
    <w:p w14:paraId="023B83A2" w14:textId="77777777" w:rsidR="001C4242" w:rsidRDefault="00000000">
      <w:pPr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Izvještaj o prihodima i rashodima prema izvorima financiranja,</w:t>
      </w:r>
    </w:p>
    <w:p w14:paraId="40359347" w14:textId="77777777" w:rsidR="001C4242" w:rsidRDefault="00000000">
      <w:pPr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 xml:space="preserve">Izvještaj o rashodima prema funkcijskoj klasifikaciji.   </w:t>
      </w:r>
    </w:p>
    <w:p w14:paraId="625FD1D3" w14:textId="77777777" w:rsidR="001C4242" w:rsidRDefault="00000000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1.3. Račun financiranja</w:t>
      </w:r>
    </w:p>
    <w:p w14:paraId="110183FE" w14:textId="77777777" w:rsidR="001C4242" w:rsidRDefault="00000000">
      <w:pPr>
        <w:jc w:val="both"/>
        <w:rPr>
          <w:rFonts w:cstheme="minorHAnsi"/>
        </w:rPr>
      </w:pPr>
      <w:r>
        <w:rPr>
          <w:rFonts w:cstheme="minorHAnsi"/>
        </w:rPr>
        <w:t>Račun financiranja sadrži prikaz primitaka i izdataka i iskazuje se prema proračunskim klasifikacijama u izvještajima:</w:t>
      </w:r>
    </w:p>
    <w:p w14:paraId="02314FD0" w14:textId="77777777" w:rsidR="001C4242" w:rsidRDefault="00000000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Izvještaj računa financiranja prema ekonomskoj klasifikaciji,</w:t>
      </w:r>
    </w:p>
    <w:p w14:paraId="38CF9C4E" w14:textId="77777777" w:rsidR="001C4242" w:rsidRDefault="001C4242">
      <w:pPr>
        <w:pStyle w:val="Odlomakpopisa"/>
        <w:jc w:val="both"/>
        <w:rPr>
          <w:rFonts w:cstheme="minorHAnsi"/>
          <w:sz w:val="16"/>
          <w:szCs w:val="16"/>
        </w:rPr>
      </w:pPr>
    </w:p>
    <w:p w14:paraId="0FAC2998" w14:textId="77777777" w:rsidR="001C4242" w:rsidRDefault="00000000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 xml:space="preserve">Izvještaj računa financiranja prema izvorima financiranja. </w:t>
      </w:r>
    </w:p>
    <w:p w14:paraId="5AC45ABF" w14:textId="77777777" w:rsidR="001C4242" w:rsidRDefault="001C4242">
      <w:pPr>
        <w:jc w:val="both"/>
        <w:rPr>
          <w:rFonts w:cstheme="minorHAnsi"/>
          <w:b/>
        </w:rPr>
      </w:pPr>
    </w:p>
    <w:p w14:paraId="39DA49DF" w14:textId="77777777" w:rsidR="001C4242" w:rsidRDefault="00000000">
      <w:pPr>
        <w:jc w:val="both"/>
        <w:rPr>
          <w:rFonts w:cstheme="minorHAnsi"/>
          <w:b/>
        </w:rPr>
      </w:pPr>
      <w:r>
        <w:rPr>
          <w:rFonts w:cstheme="minorHAnsi"/>
          <w:b/>
        </w:rPr>
        <w:t>2. POSEBNI DIO POLUGODIŠNJEG IZVJEŠTAJA O IZVRŠENJU PRORAČUNA</w:t>
      </w:r>
    </w:p>
    <w:p w14:paraId="0650CCDA" w14:textId="77777777" w:rsidR="001C4242" w:rsidRDefault="00000000">
      <w:pPr>
        <w:jc w:val="both"/>
        <w:rPr>
          <w:rFonts w:cstheme="minorHAnsi"/>
        </w:rPr>
      </w:pPr>
      <w:r>
        <w:rPr>
          <w:rFonts w:cstheme="minorHAnsi"/>
        </w:rPr>
        <w:t>Posebni dio proračuna prema Pravilniku o polugodišnjem i godišnjem izvještaju o izvršenju proračuna iskazuje se u izvještajima:</w:t>
      </w:r>
    </w:p>
    <w:p w14:paraId="64CF7CB1" w14:textId="77777777" w:rsidR="001C4242" w:rsidRDefault="00000000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 xml:space="preserve">Izvještaj po organizacijskoj klasifikaciji, </w:t>
      </w:r>
    </w:p>
    <w:p w14:paraId="06EF86AB" w14:textId="77777777" w:rsidR="001C4242" w:rsidRDefault="00000000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Izvještaj po programskoj klasifikaciji.</w:t>
      </w:r>
    </w:p>
    <w:p w14:paraId="2E0E04F8" w14:textId="77777777" w:rsidR="001C4242" w:rsidRDefault="001C4242">
      <w:pPr>
        <w:pStyle w:val="Odlomakpopisa"/>
        <w:jc w:val="both"/>
        <w:rPr>
          <w:rFonts w:cstheme="minorHAnsi"/>
        </w:rPr>
      </w:pPr>
    </w:p>
    <w:p w14:paraId="6AE1766F" w14:textId="77777777" w:rsidR="001C4242" w:rsidRDefault="00000000">
      <w:pPr>
        <w:pStyle w:val="Bezproreda"/>
        <w:rPr>
          <w:rFonts w:cstheme="minorHAnsi"/>
          <w:b/>
          <w:bCs/>
        </w:rPr>
      </w:pPr>
      <w:r>
        <w:rPr>
          <w:rFonts w:cstheme="minorHAnsi"/>
          <w:b/>
          <w:bCs/>
        </w:rPr>
        <w:t>3. OBRAZLOŽENJE POLUGODIŠNJEG IZVJEŠTAJA O IZVRŠENJU PRORAČUNA</w:t>
      </w:r>
    </w:p>
    <w:p w14:paraId="66896015" w14:textId="77777777" w:rsidR="001C4242" w:rsidRDefault="001C4242">
      <w:pPr>
        <w:pStyle w:val="Bezproreda"/>
        <w:rPr>
          <w:rFonts w:cstheme="minorHAnsi"/>
          <w:i/>
          <w:iCs/>
        </w:rPr>
      </w:pPr>
    </w:p>
    <w:p w14:paraId="3F37E4DD" w14:textId="77777777" w:rsidR="001C4242" w:rsidRDefault="00000000">
      <w:pPr>
        <w:pStyle w:val="Bezproreda"/>
        <w:rPr>
          <w:rFonts w:cstheme="minorHAnsi"/>
          <w:i/>
          <w:iCs/>
        </w:rPr>
      </w:pPr>
      <w:r>
        <w:rPr>
          <w:rFonts w:cstheme="minorHAnsi"/>
          <w:i/>
          <w:iCs/>
        </w:rPr>
        <w:t>3.1. Obrazloženje općeg dijela izvještaja o izvršenju proračuna</w:t>
      </w:r>
    </w:p>
    <w:p w14:paraId="5E53C6F4" w14:textId="77777777" w:rsidR="001C4242" w:rsidRDefault="001C4242">
      <w:pPr>
        <w:pStyle w:val="Bezproreda"/>
        <w:rPr>
          <w:rFonts w:cstheme="minorHAnsi"/>
          <w:i/>
          <w:iCs/>
        </w:rPr>
      </w:pPr>
    </w:p>
    <w:p w14:paraId="4F046238" w14:textId="77777777" w:rsidR="001C4242" w:rsidRDefault="00000000">
      <w:pPr>
        <w:pStyle w:val="Bezproreda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OBRAZLOŽENJE OSTVARENJA PRIHODA I RASHODA, PRIMITAKA I IZDATAKA </w:t>
      </w:r>
    </w:p>
    <w:p w14:paraId="7638E78A" w14:textId="77777777" w:rsidR="001C4242" w:rsidRDefault="001C4242">
      <w:pPr>
        <w:pStyle w:val="Bezproreda"/>
        <w:rPr>
          <w:rFonts w:cstheme="minorHAnsi"/>
          <w:i/>
          <w:iCs/>
        </w:rPr>
      </w:pPr>
    </w:p>
    <w:p w14:paraId="00179A3D" w14:textId="531807D2" w:rsidR="001C4242" w:rsidRDefault="00000000">
      <w:pPr>
        <w:jc w:val="both"/>
        <w:rPr>
          <w:rFonts w:cstheme="minorHAnsi"/>
        </w:rPr>
      </w:pPr>
      <w:r>
        <w:rPr>
          <w:rFonts w:cstheme="minorHAnsi"/>
        </w:rPr>
        <w:t>U razdoblju od 01.01. – 30.06.202</w:t>
      </w:r>
      <w:r w:rsidR="00673DE5">
        <w:rPr>
          <w:rFonts w:cstheme="minorHAnsi"/>
        </w:rPr>
        <w:t>4</w:t>
      </w:r>
      <w:r>
        <w:rPr>
          <w:rFonts w:cstheme="minorHAnsi"/>
        </w:rPr>
        <w:t xml:space="preserve">. ostvareni su ukupni prihodi u iznosu od </w:t>
      </w:r>
      <w:r w:rsidR="00673DE5">
        <w:rPr>
          <w:rFonts w:cstheme="minorHAnsi"/>
        </w:rPr>
        <w:t>886.457,43</w:t>
      </w:r>
      <w:r>
        <w:rPr>
          <w:rFonts w:cstheme="minorHAnsi"/>
        </w:rPr>
        <w:t xml:space="preserve"> eura, što je 42,</w:t>
      </w:r>
      <w:r w:rsidR="00673DE5">
        <w:rPr>
          <w:rFonts w:cstheme="minorHAnsi"/>
        </w:rPr>
        <w:t>66</w:t>
      </w:r>
      <w:r>
        <w:rPr>
          <w:rFonts w:cstheme="minorHAnsi"/>
        </w:rPr>
        <w:t>% ostvarenja u odnosu na godišnji plan za 202</w:t>
      </w:r>
      <w:r w:rsidR="00673DE5">
        <w:rPr>
          <w:rFonts w:cstheme="minorHAnsi"/>
        </w:rPr>
        <w:t>4</w:t>
      </w:r>
      <w:r>
        <w:rPr>
          <w:rFonts w:cstheme="minorHAnsi"/>
        </w:rPr>
        <w:t xml:space="preserve">. godinu. U odnosu na isto izvještajno razdoblje prethodne godine ostvarenje prihoda iznosilo je </w:t>
      </w:r>
      <w:r w:rsidR="00673DE5">
        <w:rPr>
          <w:rFonts w:cstheme="minorHAnsi"/>
        </w:rPr>
        <w:t>79</w:t>
      </w:r>
      <w:r>
        <w:rPr>
          <w:rFonts w:cstheme="minorHAnsi"/>
        </w:rPr>
        <w:t>,</w:t>
      </w:r>
      <w:r w:rsidR="00673DE5">
        <w:rPr>
          <w:rFonts w:cstheme="minorHAnsi"/>
        </w:rPr>
        <w:t>80</w:t>
      </w:r>
      <w:r>
        <w:rPr>
          <w:rFonts w:cstheme="minorHAnsi"/>
        </w:rPr>
        <w:t xml:space="preserve">%.    </w:t>
      </w:r>
    </w:p>
    <w:p w14:paraId="2484C870" w14:textId="77777777" w:rsidR="001C4242" w:rsidRDefault="00000000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Prikaz ostvarenja prihoda poslovanja:</w:t>
      </w:r>
    </w:p>
    <w:p w14:paraId="150A45F6" w14:textId="5044C46A" w:rsidR="001C4242" w:rsidRDefault="00000000">
      <w:pPr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 xml:space="preserve">porez i prirez na dohodak  (611) ostvareni su u iznosu od </w:t>
      </w:r>
      <w:r w:rsidR="00673DE5">
        <w:rPr>
          <w:rFonts w:cstheme="minorHAnsi"/>
        </w:rPr>
        <w:t>318.262,19</w:t>
      </w:r>
      <w:r>
        <w:rPr>
          <w:rFonts w:cstheme="minorHAnsi"/>
        </w:rPr>
        <w:t xml:space="preserve"> eura ili 6</w:t>
      </w:r>
      <w:r w:rsidR="00673DE5">
        <w:rPr>
          <w:rFonts w:cstheme="minorHAnsi"/>
        </w:rPr>
        <w:t>4</w:t>
      </w:r>
      <w:r>
        <w:rPr>
          <w:rFonts w:cstheme="minorHAnsi"/>
        </w:rPr>
        <w:t>,</w:t>
      </w:r>
      <w:r w:rsidR="00673DE5">
        <w:rPr>
          <w:rFonts w:cstheme="minorHAnsi"/>
        </w:rPr>
        <w:t>23</w:t>
      </w:r>
      <w:r>
        <w:rPr>
          <w:rFonts w:cstheme="minorHAnsi"/>
        </w:rPr>
        <w:t>% u odnosu na godišnji plan za 202</w:t>
      </w:r>
      <w:r w:rsidR="00673DE5">
        <w:rPr>
          <w:rFonts w:cstheme="minorHAnsi"/>
        </w:rPr>
        <w:t>4</w:t>
      </w:r>
      <w:r>
        <w:rPr>
          <w:rFonts w:cstheme="minorHAnsi"/>
        </w:rPr>
        <w:t xml:space="preserve">. godinu, </w:t>
      </w:r>
    </w:p>
    <w:p w14:paraId="462AA43E" w14:textId="1B12CEA2" w:rsidR="001C4242" w:rsidRDefault="00000000">
      <w:pPr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 xml:space="preserve">porezi na imovinu (613) ostvareni su u iznosu od </w:t>
      </w:r>
      <w:r w:rsidR="00673DE5">
        <w:rPr>
          <w:rFonts w:cstheme="minorHAnsi"/>
        </w:rPr>
        <w:t>41</w:t>
      </w:r>
      <w:r>
        <w:rPr>
          <w:rFonts w:cstheme="minorHAnsi"/>
        </w:rPr>
        <w:t>.</w:t>
      </w:r>
      <w:r w:rsidR="00673DE5">
        <w:rPr>
          <w:rFonts w:cstheme="minorHAnsi"/>
        </w:rPr>
        <w:t>002</w:t>
      </w:r>
      <w:r>
        <w:rPr>
          <w:rFonts w:cstheme="minorHAnsi"/>
        </w:rPr>
        <w:t>,</w:t>
      </w:r>
      <w:r w:rsidR="00673DE5">
        <w:rPr>
          <w:rFonts w:cstheme="minorHAnsi"/>
        </w:rPr>
        <w:t>47</w:t>
      </w:r>
      <w:r>
        <w:rPr>
          <w:rFonts w:cstheme="minorHAnsi"/>
        </w:rPr>
        <w:t xml:space="preserve"> eura ili </w:t>
      </w:r>
      <w:r w:rsidR="00673DE5">
        <w:rPr>
          <w:rFonts w:cstheme="minorHAnsi"/>
        </w:rPr>
        <w:t>51</w:t>
      </w:r>
      <w:r>
        <w:rPr>
          <w:rFonts w:cstheme="minorHAnsi"/>
        </w:rPr>
        <w:t>,</w:t>
      </w:r>
      <w:r w:rsidR="00673DE5">
        <w:rPr>
          <w:rFonts w:cstheme="minorHAnsi"/>
        </w:rPr>
        <w:t>13</w:t>
      </w:r>
      <w:r>
        <w:rPr>
          <w:rFonts w:cstheme="minorHAnsi"/>
        </w:rPr>
        <w:t>% u odnosu na godišnji plan za 202</w:t>
      </w:r>
      <w:r w:rsidR="00673DE5">
        <w:rPr>
          <w:rFonts w:cstheme="minorHAnsi"/>
        </w:rPr>
        <w:t>4</w:t>
      </w:r>
      <w:r>
        <w:rPr>
          <w:rFonts w:cstheme="minorHAnsi"/>
        </w:rPr>
        <w:t>. godinu,</w:t>
      </w:r>
    </w:p>
    <w:p w14:paraId="6CEBA900" w14:textId="38AA9E2F" w:rsidR="001C4242" w:rsidRDefault="00000000">
      <w:pPr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 xml:space="preserve">porezi na robu i usluge (614) ostvareni su u iznosu od </w:t>
      </w:r>
      <w:r w:rsidR="00673DE5">
        <w:rPr>
          <w:rFonts w:cstheme="minorHAnsi"/>
        </w:rPr>
        <w:t>7</w:t>
      </w:r>
      <w:r>
        <w:rPr>
          <w:rFonts w:cstheme="minorHAnsi"/>
        </w:rPr>
        <w:t>.</w:t>
      </w:r>
      <w:r w:rsidR="00673DE5">
        <w:rPr>
          <w:rFonts w:cstheme="minorHAnsi"/>
        </w:rPr>
        <w:t>455</w:t>
      </w:r>
      <w:r>
        <w:rPr>
          <w:rFonts w:cstheme="minorHAnsi"/>
        </w:rPr>
        <w:t>,</w:t>
      </w:r>
      <w:r w:rsidR="00673DE5">
        <w:rPr>
          <w:rFonts w:cstheme="minorHAnsi"/>
        </w:rPr>
        <w:t>28</w:t>
      </w:r>
      <w:r>
        <w:rPr>
          <w:rFonts w:cstheme="minorHAnsi"/>
        </w:rPr>
        <w:t xml:space="preserve"> eura ili </w:t>
      </w:r>
      <w:r w:rsidR="00673DE5">
        <w:rPr>
          <w:rFonts w:cstheme="minorHAnsi"/>
        </w:rPr>
        <w:t>38</w:t>
      </w:r>
      <w:r>
        <w:rPr>
          <w:rFonts w:cstheme="minorHAnsi"/>
        </w:rPr>
        <w:t>,</w:t>
      </w:r>
      <w:r w:rsidR="00673DE5">
        <w:rPr>
          <w:rFonts w:cstheme="minorHAnsi"/>
        </w:rPr>
        <w:t>83</w:t>
      </w:r>
      <w:r>
        <w:rPr>
          <w:rFonts w:cstheme="minorHAnsi"/>
        </w:rPr>
        <w:t>% u odnosu na godišnji plan za 202</w:t>
      </w:r>
      <w:r w:rsidR="00673DE5">
        <w:rPr>
          <w:rFonts w:cstheme="minorHAnsi"/>
        </w:rPr>
        <w:t>4</w:t>
      </w:r>
      <w:r>
        <w:rPr>
          <w:rFonts w:cstheme="minorHAnsi"/>
        </w:rPr>
        <w:t>. godinu,</w:t>
      </w:r>
    </w:p>
    <w:p w14:paraId="72052B61" w14:textId="4A534F32" w:rsidR="001C4242" w:rsidRDefault="00000000">
      <w:pPr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pomoći proračunu iz drugih proračuna  (633) ostvareni su u iznosu od 25</w:t>
      </w:r>
      <w:r w:rsidR="00673DE5">
        <w:rPr>
          <w:rFonts w:cstheme="minorHAnsi"/>
        </w:rPr>
        <w:t>9</w:t>
      </w:r>
      <w:r>
        <w:rPr>
          <w:rFonts w:cstheme="minorHAnsi"/>
        </w:rPr>
        <w:t>.</w:t>
      </w:r>
      <w:r w:rsidR="00673DE5">
        <w:rPr>
          <w:rFonts w:cstheme="minorHAnsi"/>
        </w:rPr>
        <w:t>295</w:t>
      </w:r>
      <w:r>
        <w:rPr>
          <w:rFonts w:cstheme="minorHAnsi"/>
        </w:rPr>
        <w:t>,</w:t>
      </w:r>
      <w:r w:rsidR="00673DE5">
        <w:rPr>
          <w:rFonts w:cstheme="minorHAnsi"/>
        </w:rPr>
        <w:t>46</w:t>
      </w:r>
      <w:r>
        <w:rPr>
          <w:rFonts w:cstheme="minorHAnsi"/>
        </w:rPr>
        <w:t xml:space="preserve"> eura ili </w:t>
      </w:r>
      <w:r w:rsidR="00673DE5">
        <w:rPr>
          <w:rFonts w:cstheme="minorHAnsi"/>
        </w:rPr>
        <w:t>43</w:t>
      </w:r>
      <w:r>
        <w:rPr>
          <w:rFonts w:cstheme="minorHAnsi"/>
        </w:rPr>
        <w:t>,</w:t>
      </w:r>
      <w:r w:rsidR="00673DE5">
        <w:rPr>
          <w:rFonts w:cstheme="minorHAnsi"/>
        </w:rPr>
        <w:t>22</w:t>
      </w:r>
      <w:r>
        <w:rPr>
          <w:rFonts w:cstheme="minorHAnsi"/>
        </w:rPr>
        <w:t>% u odnosu na godišnji plan za 202</w:t>
      </w:r>
      <w:r w:rsidR="00673DE5">
        <w:rPr>
          <w:rFonts w:cstheme="minorHAnsi"/>
        </w:rPr>
        <w:t>4</w:t>
      </w:r>
      <w:r>
        <w:rPr>
          <w:rFonts w:cstheme="minorHAnsi"/>
        </w:rPr>
        <w:t>. godinu,</w:t>
      </w:r>
    </w:p>
    <w:p w14:paraId="758D30DE" w14:textId="2E7C07CF" w:rsidR="001C4242" w:rsidRDefault="00000000">
      <w:pPr>
        <w:ind w:firstLine="360"/>
        <w:jc w:val="both"/>
        <w:rPr>
          <w:rFonts w:cstheme="minorHAnsi"/>
        </w:rPr>
      </w:pPr>
      <w:r>
        <w:rPr>
          <w:rFonts w:cstheme="minorHAnsi"/>
        </w:rPr>
        <w:t xml:space="preserve">-      prihodi od financijske imovine (641) ostvareni su u iznosu od </w:t>
      </w:r>
      <w:r w:rsidR="00673DE5">
        <w:rPr>
          <w:rFonts w:cstheme="minorHAnsi"/>
        </w:rPr>
        <w:t>924</w:t>
      </w:r>
      <w:r>
        <w:rPr>
          <w:rFonts w:cstheme="minorHAnsi"/>
        </w:rPr>
        <w:t>,</w:t>
      </w:r>
      <w:r w:rsidR="00673DE5">
        <w:rPr>
          <w:rFonts w:cstheme="minorHAnsi"/>
        </w:rPr>
        <w:t>20</w:t>
      </w:r>
      <w:r>
        <w:rPr>
          <w:rFonts w:cstheme="minorHAnsi"/>
        </w:rPr>
        <w:t xml:space="preserve"> eura ili </w:t>
      </w:r>
      <w:r w:rsidR="00DC085B">
        <w:rPr>
          <w:rFonts w:cstheme="minorHAnsi"/>
        </w:rPr>
        <w:t>5</w:t>
      </w:r>
      <w:r>
        <w:rPr>
          <w:rFonts w:cstheme="minorHAnsi"/>
        </w:rPr>
        <w:t>,</w:t>
      </w:r>
      <w:r w:rsidR="00DC085B">
        <w:rPr>
          <w:rFonts w:cstheme="minorHAnsi"/>
        </w:rPr>
        <w:t>78</w:t>
      </w:r>
      <w:r>
        <w:rPr>
          <w:rFonts w:cstheme="minorHAnsi"/>
        </w:rPr>
        <w:t>% u odnosu na godišnji plan za 202</w:t>
      </w:r>
      <w:r w:rsidR="00DC085B">
        <w:rPr>
          <w:rFonts w:cstheme="minorHAnsi"/>
        </w:rPr>
        <w:t>4</w:t>
      </w:r>
      <w:r>
        <w:rPr>
          <w:rFonts w:cstheme="minorHAnsi"/>
        </w:rPr>
        <w:t>. godinu,</w:t>
      </w:r>
    </w:p>
    <w:p w14:paraId="4498AB7C" w14:textId="45FD7B9F" w:rsidR="001C4242" w:rsidRDefault="00000000">
      <w:pPr>
        <w:ind w:firstLine="360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-      prihodi od nefinancijske imovine  (642) ostvareni su u iznosu od </w:t>
      </w:r>
      <w:r w:rsidR="00DC085B">
        <w:rPr>
          <w:rFonts w:cstheme="minorHAnsi"/>
        </w:rPr>
        <w:t>217</w:t>
      </w:r>
      <w:r>
        <w:rPr>
          <w:rFonts w:cstheme="minorHAnsi"/>
        </w:rPr>
        <w:t>.</w:t>
      </w:r>
      <w:r w:rsidR="00DC085B">
        <w:rPr>
          <w:rFonts w:cstheme="minorHAnsi"/>
        </w:rPr>
        <w:t>970</w:t>
      </w:r>
      <w:r>
        <w:rPr>
          <w:rFonts w:cstheme="minorHAnsi"/>
        </w:rPr>
        <w:t>,</w:t>
      </w:r>
      <w:r w:rsidR="00DC085B">
        <w:rPr>
          <w:rFonts w:cstheme="minorHAnsi"/>
        </w:rPr>
        <w:t>29</w:t>
      </w:r>
      <w:r>
        <w:rPr>
          <w:rFonts w:cstheme="minorHAnsi"/>
        </w:rPr>
        <w:t xml:space="preserve"> eura ili </w:t>
      </w:r>
      <w:r w:rsidR="00DC085B">
        <w:rPr>
          <w:rFonts w:cstheme="minorHAnsi"/>
        </w:rPr>
        <w:t>42</w:t>
      </w:r>
      <w:r>
        <w:rPr>
          <w:rFonts w:cstheme="minorHAnsi"/>
        </w:rPr>
        <w:t>,</w:t>
      </w:r>
      <w:r w:rsidR="00DC085B">
        <w:rPr>
          <w:rFonts w:cstheme="minorHAnsi"/>
        </w:rPr>
        <w:t>46</w:t>
      </w:r>
      <w:r>
        <w:rPr>
          <w:rFonts w:cstheme="minorHAnsi"/>
        </w:rPr>
        <w:t>% u odnosu na godišnji plan za 202</w:t>
      </w:r>
      <w:r w:rsidR="00DC085B">
        <w:rPr>
          <w:rFonts w:cstheme="minorHAnsi"/>
        </w:rPr>
        <w:t>4</w:t>
      </w:r>
      <w:r>
        <w:rPr>
          <w:rFonts w:cstheme="minorHAnsi"/>
        </w:rPr>
        <w:t>. godinu,</w:t>
      </w:r>
    </w:p>
    <w:p w14:paraId="2FF7912F" w14:textId="5BA9A335" w:rsidR="001C4242" w:rsidRDefault="00000000">
      <w:pPr>
        <w:ind w:firstLine="360"/>
        <w:jc w:val="both"/>
        <w:rPr>
          <w:rFonts w:cstheme="minorHAnsi"/>
        </w:rPr>
      </w:pPr>
      <w:r>
        <w:rPr>
          <w:rFonts w:cstheme="minorHAnsi"/>
        </w:rPr>
        <w:t xml:space="preserve">-      upravne i administrativne pristojbe (651) ostvareni su u iznosu od </w:t>
      </w:r>
      <w:r w:rsidR="00DC085B">
        <w:rPr>
          <w:rFonts w:cstheme="minorHAnsi"/>
        </w:rPr>
        <w:t>4</w:t>
      </w:r>
      <w:r>
        <w:rPr>
          <w:rFonts w:cstheme="minorHAnsi"/>
        </w:rPr>
        <w:t>.</w:t>
      </w:r>
      <w:r w:rsidR="00DC085B">
        <w:rPr>
          <w:rFonts w:cstheme="minorHAnsi"/>
        </w:rPr>
        <w:t>287</w:t>
      </w:r>
      <w:r>
        <w:rPr>
          <w:rFonts w:cstheme="minorHAnsi"/>
        </w:rPr>
        <w:t>,</w:t>
      </w:r>
      <w:r w:rsidR="00DC085B">
        <w:rPr>
          <w:rFonts w:cstheme="minorHAnsi"/>
        </w:rPr>
        <w:t>05</w:t>
      </w:r>
      <w:r>
        <w:rPr>
          <w:rFonts w:cstheme="minorHAnsi"/>
        </w:rPr>
        <w:t xml:space="preserve"> eura ili </w:t>
      </w:r>
      <w:r w:rsidR="00DC085B">
        <w:rPr>
          <w:rFonts w:cstheme="minorHAnsi"/>
        </w:rPr>
        <w:t>21</w:t>
      </w:r>
      <w:r>
        <w:rPr>
          <w:rFonts w:cstheme="minorHAnsi"/>
        </w:rPr>
        <w:t>,</w:t>
      </w:r>
      <w:r w:rsidR="00DC085B">
        <w:rPr>
          <w:rFonts w:cstheme="minorHAnsi"/>
        </w:rPr>
        <w:t>33</w:t>
      </w:r>
      <w:r>
        <w:rPr>
          <w:rFonts w:cstheme="minorHAnsi"/>
        </w:rPr>
        <w:t>% u odnosu na godišnji plan za 202</w:t>
      </w:r>
      <w:r w:rsidR="00DC085B">
        <w:rPr>
          <w:rFonts w:cstheme="minorHAnsi"/>
        </w:rPr>
        <w:t>4</w:t>
      </w:r>
      <w:r>
        <w:rPr>
          <w:rFonts w:cstheme="minorHAnsi"/>
        </w:rPr>
        <w:t>. godinu,</w:t>
      </w:r>
    </w:p>
    <w:p w14:paraId="47898972" w14:textId="5B75F6CF" w:rsidR="001C4242" w:rsidRDefault="00000000">
      <w:pPr>
        <w:ind w:firstLine="360"/>
        <w:jc w:val="both"/>
        <w:rPr>
          <w:rFonts w:cstheme="minorHAnsi"/>
        </w:rPr>
      </w:pPr>
      <w:r>
        <w:rPr>
          <w:rFonts w:cstheme="minorHAnsi"/>
        </w:rPr>
        <w:t xml:space="preserve">-      prihodi po posebnim propisima (652) ostvareni su u iznosu od </w:t>
      </w:r>
      <w:r w:rsidR="00DC085B">
        <w:rPr>
          <w:rFonts w:cstheme="minorHAnsi"/>
        </w:rPr>
        <w:t>3.870,00</w:t>
      </w:r>
      <w:r>
        <w:rPr>
          <w:rFonts w:cstheme="minorHAnsi"/>
        </w:rPr>
        <w:t xml:space="preserve"> eura ili </w:t>
      </w:r>
      <w:r w:rsidR="00DC085B">
        <w:rPr>
          <w:rFonts w:cstheme="minorHAnsi"/>
        </w:rPr>
        <w:t>79</w:t>
      </w:r>
      <w:r>
        <w:rPr>
          <w:rFonts w:cstheme="minorHAnsi"/>
        </w:rPr>
        <w:t>,</w:t>
      </w:r>
      <w:r w:rsidR="00DC085B">
        <w:rPr>
          <w:rFonts w:cstheme="minorHAnsi"/>
        </w:rPr>
        <w:t>06</w:t>
      </w:r>
      <w:r>
        <w:rPr>
          <w:rFonts w:cstheme="minorHAnsi"/>
        </w:rPr>
        <w:t>% u odnosu na godišnji plan za 202</w:t>
      </w:r>
      <w:r w:rsidR="00DC085B">
        <w:rPr>
          <w:rFonts w:cstheme="minorHAnsi"/>
        </w:rPr>
        <w:t>4</w:t>
      </w:r>
      <w:r>
        <w:rPr>
          <w:rFonts w:cstheme="minorHAnsi"/>
        </w:rPr>
        <w:t>. godinu,</w:t>
      </w:r>
    </w:p>
    <w:p w14:paraId="026ABE4C" w14:textId="47DF254D" w:rsidR="001C4242" w:rsidRDefault="00000000">
      <w:pPr>
        <w:ind w:firstLine="360"/>
        <w:jc w:val="both"/>
        <w:rPr>
          <w:rFonts w:cstheme="minorHAnsi"/>
        </w:rPr>
      </w:pPr>
      <w:r>
        <w:rPr>
          <w:rFonts w:cstheme="minorHAnsi"/>
        </w:rPr>
        <w:t>-      komunalni doprinosi i naknade (653) ostvareni su u iznosu od 13.</w:t>
      </w:r>
      <w:r w:rsidR="00DC085B">
        <w:rPr>
          <w:rFonts w:cstheme="minorHAnsi"/>
        </w:rPr>
        <w:t>809</w:t>
      </w:r>
      <w:r>
        <w:rPr>
          <w:rFonts w:cstheme="minorHAnsi"/>
        </w:rPr>
        <w:t>,</w:t>
      </w:r>
      <w:r w:rsidR="00DC085B">
        <w:rPr>
          <w:rFonts w:cstheme="minorHAnsi"/>
        </w:rPr>
        <w:t>80</w:t>
      </w:r>
      <w:r>
        <w:rPr>
          <w:rFonts w:cstheme="minorHAnsi"/>
        </w:rPr>
        <w:t xml:space="preserve"> eura ili 5</w:t>
      </w:r>
      <w:r w:rsidR="00DC085B">
        <w:rPr>
          <w:rFonts w:cstheme="minorHAnsi"/>
        </w:rPr>
        <w:t>3</w:t>
      </w:r>
      <w:r>
        <w:rPr>
          <w:rFonts w:cstheme="minorHAnsi"/>
        </w:rPr>
        <w:t>,</w:t>
      </w:r>
      <w:r w:rsidR="00DC085B">
        <w:rPr>
          <w:rFonts w:cstheme="minorHAnsi"/>
        </w:rPr>
        <w:t>11</w:t>
      </w:r>
      <w:r>
        <w:rPr>
          <w:rFonts w:cstheme="minorHAnsi"/>
        </w:rPr>
        <w:t>% u odnosu na godišnji plan za 202</w:t>
      </w:r>
      <w:r w:rsidR="00DC085B">
        <w:rPr>
          <w:rFonts w:cstheme="minorHAnsi"/>
        </w:rPr>
        <w:t>4</w:t>
      </w:r>
      <w:r>
        <w:rPr>
          <w:rFonts w:cstheme="minorHAnsi"/>
        </w:rPr>
        <w:t>. godinu,</w:t>
      </w:r>
    </w:p>
    <w:p w14:paraId="541321F4" w14:textId="0BC570B9" w:rsidR="001C4242" w:rsidRDefault="00000000">
      <w:pPr>
        <w:ind w:firstLine="360"/>
        <w:jc w:val="both"/>
        <w:rPr>
          <w:rFonts w:cstheme="minorHAnsi"/>
        </w:rPr>
      </w:pPr>
      <w:r>
        <w:rPr>
          <w:rFonts w:cstheme="minorHAnsi"/>
        </w:rPr>
        <w:t xml:space="preserve">-      prihodi od prodaje proizvoda i robe te pruženih usluga (661) ostvareni su u iznosu od </w:t>
      </w:r>
      <w:r w:rsidR="00DC085B">
        <w:rPr>
          <w:rFonts w:cstheme="minorHAnsi"/>
        </w:rPr>
        <w:t>660</w:t>
      </w:r>
      <w:r>
        <w:rPr>
          <w:rFonts w:cstheme="minorHAnsi"/>
        </w:rPr>
        <w:t>,</w:t>
      </w:r>
      <w:r w:rsidR="00DC085B">
        <w:rPr>
          <w:rFonts w:cstheme="minorHAnsi"/>
        </w:rPr>
        <w:t>00</w:t>
      </w:r>
      <w:r>
        <w:rPr>
          <w:rFonts w:cstheme="minorHAnsi"/>
        </w:rPr>
        <w:t xml:space="preserve"> eura ili </w:t>
      </w:r>
      <w:r w:rsidR="00DC085B">
        <w:rPr>
          <w:rFonts w:cstheme="minorHAnsi"/>
        </w:rPr>
        <w:t>33</w:t>
      </w:r>
      <w:r>
        <w:rPr>
          <w:rFonts w:cstheme="minorHAnsi"/>
        </w:rPr>
        <w:t>,</w:t>
      </w:r>
      <w:r w:rsidR="00DC085B">
        <w:rPr>
          <w:rFonts w:cstheme="minorHAnsi"/>
        </w:rPr>
        <w:t>00</w:t>
      </w:r>
      <w:r>
        <w:rPr>
          <w:rFonts w:cstheme="minorHAnsi"/>
        </w:rPr>
        <w:t>% u odnosu na godišnji plan za 202</w:t>
      </w:r>
      <w:r w:rsidR="00DC085B">
        <w:rPr>
          <w:rFonts w:cstheme="minorHAnsi"/>
        </w:rPr>
        <w:t>4</w:t>
      </w:r>
      <w:r>
        <w:rPr>
          <w:rFonts w:cstheme="minorHAnsi"/>
        </w:rPr>
        <w:t>. godinu.</w:t>
      </w:r>
    </w:p>
    <w:p w14:paraId="7D0A7E42" w14:textId="77777777" w:rsidR="001C4242" w:rsidRDefault="00000000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Prikaz ostvarenja prihoda od prodaje nefinancijske imovine:</w:t>
      </w:r>
    </w:p>
    <w:p w14:paraId="443AD295" w14:textId="461682EB" w:rsidR="001C4242" w:rsidRDefault="00000000">
      <w:pPr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 xml:space="preserve">prihodi od prodaje građevinskih objekata (721) ostvareni su u iznosu od </w:t>
      </w:r>
      <w:r w:rsidR="00025E55">
        <w:rPr>
          <w:rFonts w:cstheme="minorHAnsi"/>
        </w:rPr>
        <w:t>18.920,69</w:t>
      </w:r>
      <w:r>
        <w:rPr>
          <w:rFonts w:cstheme="minorHAnsi"/>
        </w:rPr>
        <w:t xml:space="preserve"> eura ili </w:t>
      </w:r>
      <w:r w:rsidR="00025E55">
        <w:rPr>
          <w:rFonts w:cstheme="minorHAnsi"/>
        </w:rPr>
        <w:t>133</w:t>
      </w:r>
      <w:r>
        <w:rPr>
          <w:rFonts w:cstheme="minorHAnsi"/>
        </w:rPr>
        <w:t>,</w:t>
      </w:r>
      <w:r w:rsidR="00025E55">
        <w:rPr>
          <w:rFonts w:cstheme="minorHAnsi"/>
        </w:rPr>
        <w:t>24</w:t>
      </w:r>
      <w:r>
        <w:rPr>
          <w:rFonts w:cstheme="minorHAnsi"/>
        </w:rPr>
        <w:t>% u odnosu na godišnji plan za 202</w:t>
      </w:r>
      <w:r w:rsidR="00025E55">
        <w:rPr>
          <w:rFonts w:cstheme="minorHAnsi"/>
        </w:rPr>
        <w:t>4</w:t>
      </w:r>
      <w:r>
        <w:rPr>
          <w:rFonts w:cstheme="minorHAnsi"/>
        </w:rPr>
        <w:t>. godinu.</w:t>
      </w:r>
    </w:p>
    <w:p w14:paraId="1FAD72F3" w14:textId="77777777" w:rsidR="001C4242" w:rsidRDefault="00000000">
      <w:pPr>
        <w:jc w:val="both"/>
        <w:rPr>
          <w:rFonts w:cstheme="minorHAnsi"/>
        </w:rPr>
      </w:pPr>
      <w:r>
        <w:rPr>
          <w:rFonts w:cstheme="minorHAnsi"/>
        </w:rPr>
        <w:t xml:space="preserve">Najznačajniji prihodi u okviru prihoda poslovanja i prihoda od prodaje nefinancijske imovine su slijedeći: </w:t>
      </w:r>
    </w:p>
    <w:p w14:paraId="5C1F9F6E" w14:textId="25B6DE71" w:rsidR="001C4242" w:rsidRDefault="00000000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 xml:space="preserve">porez na dohodak od nesamostalnog rada i drugih samostalnih djelatnosti </w:t>
      </w:r>
      <w:r w:rsidR="00025E55">
        <w:rPr>
          <w:rFonts w:cstheme="minorHAnsi"/>
        </w:rPr>
        <w:t>347</w:t>
      </w:r>
      <w:r>
        <w:rPr>
          <w:rFonts w:cstheme="minorHAnsi"/>
        </w:rPr>
        <w:t>.</w:t>
      </w:r>
      <w:r w:rsidR="00025E55">
        <w:rPr>
          <w:rFonts w:cstheme="minorHAnsi"/>
        </w:rPr>
        <w:t>142</w:t>
      </w:r>
      <w:r>
        <w:rPr>
          <w:rFonts w:cstheme="minorHAnsi"/>
        </w:rPr>
        <w:t>,</w:t>
      </w:r>
      <w:r w:rsidR="00025E55">
        <w:rPr>
          <w:rFonts w:cstheme="minorHAnsi"/>
        </w:rPr>
        <w:t>70</w:t>
      </w:r>
      <w:r>
        <w:rPr>
          <w:rFonts w:cstheme="minorHAnsi"/>
        </w:rPr>
        <w:t xml:space="preserve"> eura, </w:t>
      </w:r>
    </w:p>
    <w:p w14:paraId="44341FEB" w14:textId="72CD557E" w:rsidR="001C4242" w:rsidRDefault="00000000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 xml:space="preserve">porez na promet nekretnina </w:t>
      </w:r>
      <w:r w:rsidR="00025E55">
        <w:rPr>
          <w:rFonts w:cstheme="minorHAnsi"/>
        </w:rPr>
        <w:t>36</w:t>
      </w:r>
      <w:r>
        <w:rPr>
          <w:rFonts w:cstheme="minorHAnsi"/>
        </w:rPr>
        <w:t>.</w:t>
      </w:r>
      <w:r w:rsidR="00025E55">
        <w:rPr>
          <w:rFonts w:cstheme="minorHAnsi"/>
        </w:rPr>
        <w:t>241</w:t>
      </w:r>
      <w:r>
        <w:rPr>
          <w:rFonts w:cstheme="minorHAnsi"/>
        </w:rPr>
        <w:t>,</w:t>
      </w:r>
      <w:r w:rsidR="00025E55">
        <w:rPr>
          <w:rFonts w:cstheme="minorHAnsi"/>
        </w:rPr>
        <w:t>08</w:t>
      </w:r>
      <w:r>
        <w:rPr>
          <w:rFonts w:cstheme="minorHAnsi"/>
        </w:rPr>
        <w:t xml:space="preserve"> eura,</w:t>
      </w:r>
    </w:p>
    <w:p w14:paraId="24DAA2DE" w14:textId="156EA5E3" w:rsidR="001C4242" w:rsidRDefault="00000000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 xml:space="preserve">tekuća pomoć iz državnog proračuna (kompenzacijska mjera </w:t>
      </w:r>
      <w:proofErr w:type="spellStart"/>
      <w:r>
        <w:rPr>
          <w:rFonts w:cstheme="minorHAnsi"/>
        </w:rPr>
        <w:t>jlp</w:t>
      </w:r>
      <w:proofErr w:type="spellEnd"/>
      <w:r>
        <w:rPr>
          <w:rFonts w:cstheme="minorHAnsi"/>
        </w:rPr>
        <w:t>(r)s</w:t>
      </w:r>
      <w:r w:rsidR="00025E55">
        <w:rPr>
          <w:rFonts w:cstheme="minorHAnsi"/>
        </w:rPr>
        <w:t xml:space="preserve">, fiskalna održivost </w:t>
      </w:r>
      <w:proofErr w:type="spellStart"/>
      <w:r w:rsidR="00025E55">
        <w:rPr>
          <w:rFonts w:cstheme="minorHAnsi"/>
        </w:rPr>
        <w:t>dj</w:t>
      </w:r>
      <w:proofErr w:type="spellEnd"/>
      <w:r w:rsidR="00025E55">
        <w:rPr>
          <w:rFonts w:cstheme="minorHAnsi"/>
        </w:rPr>
        <w:t>. vrtića</w:t>
      </w:r>
      <w:r>
        <w:rPr>
          <w:rFonts w:cstheme="minorHAnsi"/>
        </w:rPr>
        <w:t xml:space="preserve">) </w:t>
      </w:r>
      <w:r w:rsidR="00025E55">
        <w:rPr>
          <w:rFonts w:cstheme="minorHAnsi"/>
        </w:rPr>
        <w:t>259</w:t>
      </w:r>
      <w:r>
        <w:rPr>
          <w:rFonts w:cstheme="minorHAnsi"/>
        </w:rPr>
        <w:t>.</w:t>
      </w:r>
      <w:r w:rsidR="00025E55">
        <w:rPr>
          <w:rFonts w:cstheme="minorHAnsi"/>
        </w:rPr>
        <w:t>295</w:t>
      </w:r>
      <w:r>
        <w:rPr>
          <w:rFonts w:cstheme="minorHAnsi"/>
        </w:rPr>
        <w:t>,</w:t>
      </w:r>
      <w:r w:rsidR="00025E55">
        <w:rPr>
          <w:rFonts w:cstheme="minorHAnsi"/>
        </w:rPr>
        <w:t>46</w:t>
      </w:r>
      <w:r>
        <w:rPr>
          <w:rFonts w:cstheme="minorHAnsi"/>
        </w:rPr>
        <w:t xml:space="preserve"> eura,</w:t>
      </w:r>
    </w:p>
    <w:p w14:paraId="0A164AE8" w14:textId="647C9877" w:rsidR="001C4242" w:rsidRDefault="00000000">
      <w:pPr>
        <w:pStyle w:val="Odlomakpopisa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naknada za korištenje naftne luke, naftovoda i eksploataciju mineralnih sirovina (plin i nafta) u iznosu od  2</w:t>
      </w:r>
      <w:r w:rsidR="00025E55">
        <w:rPr>
          <w:rFonts w:cstheme="minorHAnsi"/>
        </w:rPr>
        <w:t>12.615,60</w:t>
      </w:r>
      <w:r>
        <w:rPr>
          <w:rFonts w:cstheme="minorHAnsi"/>
        </w:rPr>
        <w:t xml:space="preserve"> eura.</w:t>
      </w:r>
    </w:p>
    <w:p w14:paraId="14445304" w14:textId="77777777" w:rsidR="001C4242" w:rsidRDefault="00000000">
      <w:pPr>
        <w:jc w:val="both"/>
        <w:rPr>
          <w:rFonts w:cstheme="minorHAnsi"/>
          <w:b/>
        </w:rPr>
      </w:pPr>
      <w:r>
        <w:rPr>
          <w:rFonts w:cstheme="minorHAnsi"/>
          <w:b/>
        </w:rPr>
        <w:t>PRIKAZ OSTVARENOG MANJKA ODNOSNO VIŠKA PRORAČUNA U IZVJEŠTAJNOM RAZDOBLJU</w:t>
      </w:r>
    </w:p>
    <w:p w14:paraId="1C3184CA" w14:textId="051DB81F" w:rsidR="001C4242" w:rsidRDefault="00000000">
      <w:pPr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U izvještajnom razdoblju ostvareni su ukupni prihodi u iznosu od </w:t>
      </w:r>
      <w:r w:rsidR="00025E55">
        <w:rPr>
          <w:rFonts w:cstheme="minorHAnsi"/>
          <w:bCs/>
        </w:rPr>
        <w:t>886</w:t>
      </w:r>
      <w:r>
        <w:rPr>
          <w:rFonts w:cstheme="minorHAnsi"/>
          <w:bCs/>
        </w:rPr>
        <w:t>.</w:t>
      </w:r>
      <w:r w:rsidR="00025E55">
        <w:rPr>
          <w:rFonts w:cstheme="minorHAnsi"/>
          <w:bCs/>
        </w:rPr>
        <w:t>457</w:t>
      </w:r>
      <w:r>
        <w:rPr>
          <w:rFonts w:cstheme="minorHAnsi"/>
          <w:bCs/>
        </w:rPr>
        <w:t>,</w:t>
      </w:r>
      <w:r w:rsidR="00025E55">
        <w:rPr>
          <w:rFonts w:cstheme="minorHAnsi"/>
          <w:bCs/>
        </w:rPr>
        <w:t>43</w:t>
      </w:r>
      <w:r>
        <w:rPr>
          <w:rFonts w:cstheme="minorHAnsi"/>
          <w:bCs/>
        </w:rPr>
        <w:t xml:space="preserve"> eura, a rashodi izvršeni u iznosu od </w:t>
      </w:r>
      <w:r w:rsidR="00025E55">
        <w:rPr>
          <w:rFonts w:cstheme="minorHAnsi"/>
          <w:bCs/>
        </w:rPr>
        <w:t>1.156.47</w:t>
      </w:r>
      <w:r w:rsidR="00025E75">
        <w:rPr>
          <w:rFonts w:cstheme="minorHAnsi"/>
          <w:bCs/>
        </w:rPr>
        <w:t>2</w:t>
      </w:r>
      <w:r w:rsidR="00025E55">
        <w:rPr>
          <w:rFonts w:cstheme="minorHAnsi"/>
          <w:bCs/>
        </w:rPr>
        <w:t>,</w:t>
      </w:r>
      <w:r w:rsidR="00025E75">
        <w:rPr>
          <w:rFonts w:cstheme="minorHAnsi"/>
          <w:bCs/>
        </w:rPr>
        <w:t>70</w:t>
      </w:r>
      <w:r w:rsidR="00025E55">
        <w:rPr>
          <w:rFonts w:cstheme="minorHAnsi"/>
          <w:bCs/>
        </w:rPr>
        <w:t xml:space="preserve"> eura</w:t>
      </w:r>
      <w:r>
        <w:rPr>
          <w:rFonts w:cstheme="minorHAnsi"/>
          <w:bCs/>
        </w:rPr>
        <w:t xml:space="preserve">. Razlika između prihoda i rashoda za izvještajno razdoblje </w:t>
      </w:r>
      <w:r w:rsidR="008130DC">
        <w:rPr>
          <w:rFonts w:cstheme="minorHAnsi"/>
          <w:bCs/>
        </w:rPr>
        <w:t>iznosi -</w:t>
      </w:r>
      <w:r>
        <w:rPr>
          <w:rFonts w:cstheme="minorHAnsi"/>
          <w:bCs/>
        </w:rPr>
        <w:t xml:space="preserve"> </w:t>
      </w:r>
      <w:r w:rsidR="00025E55">
        <w:rPr>
          <w:rFonts w:cstheme="minorHAnsi"/>
          <w:bCs/>
        </w:rPr>
        <w:t>270.01</w:t>
      </w:r>
      <w:r w:rsidR="00025E75">
        <w:rPr>
          <w:rFonts w:cstheme="minorHAnsi"/>
          <w:bCs/>
        </w:rPr>
        <w:t>5</w:t>
      </w:r>
      <w:r w:rsidR="00025E55">
        <w:rPr>
          <w:rFonts w:cstheme="minorHAnsi"/>
          <w:bCs/>
        </w:rPr>
        <w:t>,</w:t>
      </w:r>
      <w:r w:rsidR="00025E75">
        <w:rPr>
          <w:rFonts w:cstheme="minorHAnsi"/>
          <w:bCs/>
        </w:rPr>
        <w:t>27</w:t>
      </w:r>
      <w:r>
        <w:rPr>
          <w:rFonts w:cstheme="minorHAnsi"/>
          <w:bCs/>
        </w:rPr>
        <w:t xml:space="preserve"> eura</w:t>
      </w:r>
      <w:r w:rsidR="00465E83">
        <w:rPr>
          <w:rFonts w:cstheme="minorHAnsi"/>
          <w:bCs/>
        </w:rPr>
        <w:t>,</w:t>
      </w:r>
      <w:r>
        <w:rPr>
          <w:rFonts w:cstheme="minorHAnsi"/>
          <w:bCs/>
        </w:rPr>
        <w:t xml:space="preserve"> te je ostvareni rezultat za polugodišnje razdoblje 202</w:t>
      </w:r>
      <w:r w:rsidR="008130DC">
        <w:rPr>
          <w:rFonts w:cstheme="minorHAnsi"/>
          <w:bCs/>
        </w:rPr>
        <w:t>4</w:t>
      </w:r>
      <w:r>
        <w:rPr>
          <w:rFonts w:cstheme="minorHAnsi"/>
          <w:bCs/>
        </w:rPr>
        <w:t xml:space="preserve">. godine manjak u iznosu od </w:t>
      </w:r>
      <w:r w:rsidR="008130DC">
        <w:rPr>
          <w:rFonts w:cstheme="minorHAnsi"/>
          <w:bCs/>
        </w:rPr>
        <w:t>270</w:t>
      </w:r>
      <w:r>
        <w:rPr>
          <w:rFonts w:cstheme="minorHAnsi"/>
          <w:bCs/>
        </w:rPr>
        <w:t>.</w:t>
      </w:r>
      <w:r w:rsidR="008130DC">
        <w:rPr>
          <w:rFonts w:cstheme="minorHAnsi"/>
          <w:bCs/>
        </w:rPr>
        <w:t>01</w:t>
      </w:r>
      <w:r w:rsidR="00025E75">
        <w:rPr>
          <w:rFonts w:cstheme="minorHAnsi"/>
          <w:bCs/>
        </w:rPr>
        <w:t>5</w:t>
      </w:r>
      <w:r w:rsidR="008130DC">
        <w:rPr>
          <w:rFonts w:cstheme="minorHAnsi"/>
          <w:bCs/>
        </w:rPr>
        <w:t>,</w:t>
      </w:r>
      <w:r w:rsidR="00025E75">
        <w:rPr>
          <w:rFonts w:cstheme="minorHAnsi"/>
          <w:bCs/>
        </w:rPr>
        <w:t>27</w:t>
      </w:r>
      <w:r>
        <w:rPr>
          <w:rFonts w:cstheme="minorHAnsi"/>
          <w:bCs/>
        </w:rPr>
        <w:t xml:space="preserve"> eura. Sa prenesenim viškom iz prethodne godine u iznosu od 1.</w:t>
      </w:r>
      <w:r w:rsidR="008130DC">
        <w:rPr>
          <w:rFonts w:cstheme="minorHAnsi"/>
          <w:bCs/>
        </w:rPr>
        <w:t>373</w:t>
      </w:r>
      <w:r>
        <w:rPr>
          <w:rFonts w:cstheme="minorHAnsi"/>
          <w:bCs/>
        </w:rPr>
        <w:t>.</w:t>
      </w:r>
      <w:r w:rsidR="008130DC">
        <w:rPr>
          <w:rFonts w:cstheme="minorHAnsi"/>
          <w:bCs/>
        </w:rPr>
        <w:t>280</w:t>
      </w:r>
      <w:r>
        <w:rPr>
          <w:rFonts w:cstheme="minorHAnsi"/>
          <w:bCs/>
        </w:rPr>
        <w:t>,</w:t>
      </w:r>
      <w:r w:rsidR="008130DC">
        <w:rPr>
          <w:rFonts w:cstheme="minorHAnsi"/>
          <w:bCs/>
        </w:rPr>
        <w:t>05</w:t>
      </w:r>
      <w:r>
        <w:rPr>
          <w:rFonts w:cstheme="minorHAnsi"/>
          <w:bCs/>
        </w:rPr>
        <w:t xml:space="preserve"> eura ukupni rezultat </w:t>
      </w:r>
      <w:r w:rsidR="008130DC">
        <w:rPr>
          <w:rFonts w:cstheme="minorHAnsi"/>
          <w:bCs/>
        </w:rPr>
        <w:t>predstavlja višak u iznosu od 1.103.26</w:t>
      </w:r>
      <w:r w:rsidR="00025E75">
        <w:rPr>
          <w:rFonts w:cstheme="minorHAnsi"/>
          <w:bCs/>
        </w:rPr>
        <w:t>4</w:t>
      </w:r>
      <w:r w:rsidR="008130DC">
        <w:rPr>
          <w:rFonts w:cstheme="minorHAnsi"/>
          <w:bCs/>
        </w:rPr>
        <w:t>,</w:t>
      </w:r>
      <w:r w:rsidR="00025E75">
        <w:rPr>
          <w:rFonts w:cstheme="minorHAnsi"/>
          <w:bCs/>
        </w:rPr>
        <w:t>78</w:t>
      </w:r>
      <w:r>
        <w:rPr>
          <w:rFonts w:cstheme="minorHAnsi"/>
          <w:bCs/>
        </w:rPr>
        <w:t xml:space="preserve"> eura.</w:t>
      </w:r>
    </w:p>
    <w:p w14:paraId="32C00609" w14:textId="77777777" w:rsidR="001C4242" w:rsidRDefault="00000000">
      <w:pPr>
        <w:jc w:val="both"/>
        <w:rPr>
          <w:rFonts w:cstheme="minorHAnsi"/>
          <w:b/>
          <w:bCs/>
        </w:rPr>
      </w:pPr>
      <w:r>
        <w:rPr>
          <w:rFonts w:cstheme="minorHAnsi"/>
          <w:bCs/>
        </w:rPr>
        <w:t xml:space="preserve">            </w:t>
      </w:r>
      <w:r>
        <w:rPr>
          <w:rFonts w:cstheme="minorHAnsi"/>
          <w:b/>
        </w:rPr>
        <w:t xml:space="preserve"> RASHODI</w:t>
      </w:r>
    </w:p>
    <w:p w14:paraId="0BB45A25" w14:textId="43829398" w:rsidR="001C4242" w:rsidRDefault="00000000">
      <w:pPr>
        <w:jc w:val="both"/>
        <w:rPr>
          <w:rFonts w:cstheme="minorHAnsi"/>
        </w:rPr>
      </w:pPr>
      <w:r>
        <w:rPr>
          <w:rFonts w:cstheme="minorHAnsi"/>
          <w:b/>
        </w:rPr>
        <w:tab/>
      </w:r>
      <w:r>
        <w:rPr>
          <w:rFonts w:cstheme="minorHAnsi"/>
          <w:bCs/>
        </w:rPr>
        <w:t>Uku</w:t>
      </w:r>
      <w:r>
        <w:rPr>
          <w:rFonts w:cstheme="minorHAnsi"/>
        </w:rPr>
        <w:t xml:space="preserve">pni rashodi planirani su u iznosu od </w:t>
      </w:r>
      <w:r w:rsidR="008130DC">
        <w:rPr>
          <w:rFonts w:cstheme="minorHAnsi"/>
        </w:rPr>
        <w:t>3.078.000,00</w:t>
      </w:r>
      <w:r>
        <w:rPr>
          <w:rFonts w:cstheme="minorHAnsi"/>
        </w:rPr>
        <w:t xml:space="preserve"> eura, a </w:t>
      </w:r>
      <w:r w:rsidR="008130DC">
        <w:rPr>
          <w:rFonts w:cstheme="minorHAnsi"/>
        </w:rPr>
        <w:t>izvršeni</w:t>
      </w:r>
      <w:r>
        <w:rPr>
          <w:rFonts w:cstheme="minorHAnsi"/>
        </w:rPr>
        <w:t xml:space="preserve"> u iznosu od </w:t>
      </w:r>
      <w:r w:rsidR="008130DC">
        <w:rPr>
          <w:rFonts w:cstheme="minorHAnsi"/>
        </w:rPr>
        <w:t>1.156.4</w:t>
      </w:r>
      <w:r w:rsidR="00025E75">
        <w:rPr>
          <w:rFonts w:cstheme="minorHAnsi"/>
        </w:rPr>
        <w:t>72</w:t>
      </w:r>
      <w:r w:rsidR="008130DC">
        <w:rPr>
          <w:rFonts w:cstheme="minorHAnsi"/>
        </w:rPr>
        <w:t>,</w:t>
      </w:r>
      <w:r w:rsidR="00025E75">
        <w:rPr>
          <w:rFonts w:cstheme="minorHAnsi"/>
        </w:rPr>
        <w:t>70</w:t>
      </w:r>
      <w:r>
        <w:rPr>
          <w:rFonts w:cstheme="minorHAnsi"/>
        </w:rPr>
        <w:t xml:space="preserve"> eura ili 3</w:t>
      </w:r>
      <w:r w:rsidR="008130DC">
        <w:rPr>
          <w:rFonts w:cstheme="minorHAnsi"/>
        </w:rPr>
        <w:t>7</w:t>
      </w:r>
      <w:r>
        <w:rPr>
          <w:rFonts w:cstheme="minorHAnsi"/>
        </w:rPr>
        <w:t>,</w:t>
      </w:r>
      <w:r w:rsidR="008130DC">
        <w:rPr>
          <w:rFonts w:cstheme="minorHAnsi"/>
        </w:rPr>
        <w:t>57</w:t>
      </w:r>
      <w:r>
        <w:rPr>
          <w:rFonts w:cstheme="minorHAnsi"/>
        </w:rPr>
        <w:t xml:space="preserve">%. Izvršenje rashoda u odnosu na izvršenje za izvještajno razdoblje prethodne godine iznosi </w:t>
      </w:r>
      <w:r w:rsidR="008130DC">
        <w:rPr>
          <w:rFonts w:cstheme="minorHAnsi"/>
        </w:rPr>
        <w:t>117,64</w:t>
      </w:r>
      <w:r>
        <w:rPr>
          <w:rFonts w:cstheme="minorHAnsi"/>
        </w:rPr>
        <w:t>%.</w:t>
      </w:r>
    </w:p>
    <w:p w14:paraId="20F2ECE0" w14:textId="0CE5B42F" w:rsidR="001C4242" w:rsidRDefault="00000000">
      <w:pPr>
        <w:jc w:val="both"/>
        <w:rPr>
          <w:rFonts w:cstheme="minorHAnsi"/>
        </w:rPr>
      </w:pPr>
      <w:r>
        <w:rPr>
          <w:rFonts w:cstheme="minorHAnsi"/>
        </w:rPr>
        <w:tab/>
        <w:t xml:space="preserve">Rashodi poslovanja izvršeni su u iznosu od </w:t>
      </w:r>
      <w:r w:rsidR="008130DC">
        <w:rPr>
          <w:rFonts w:cstheme="minorHAnsi"/>
        </w:rPr>
        <w:t>901</w:t>
      </w:r>
      <w:r>
        <w:rPr>
          <w:rFonts w:cstheme="minorHAnsi"/>
        </w:rPr>
        <w:t>.</w:t>
      </w:r>
      <w:r w:rsidR="008130DC">
        <w:rPr>
          <w:rFonts w:cstheme="minorHAnsi"/>
        </w:rPr>
        <w:t>79</w:t>
      </w:r>
      <w:r w:rsidR="00025E75">
        <w:rPr>
          <w:rFonts w:cstheme="minorHAnsi"/>
        </w:rPr>
        <w:t>3</w:t>
      </w:r>
      <w:r>
        <w:rPr>
          <w:rFonts w:cstheme="minorHAnsi"/>
        </w:rPr>
        <w:t>,</w:t>
      </w:r>
      <w:r w:rsidR="00025E75">
        <w:rPr>
          <w:rFonts w:cstheme="minorHAnsi"/>
        </w:rPr>
        <w:t>43</w:t>
      </w:r>
      <w:r>
        <w:rPr>
          <w:rFonts w:cstheme="minorHAnsi"/>
        </w:rPr>
        <w:t xml:space="preserve"> eura ili 4</w:t>
      </w:r>
      <w:r w:rsidR="008130DC">
        <w:rPr>
          <w:rFonts w:cstheme="minorHAnsi"/>
        </w:rPr>
        <w:t>5</w:t>
      </w:r>
      <w:r>
        <w:rPr>
          <w:rFonts w:cstheme="minorHAnsi"/>
        </w:rPr>
        <w:t>,</w:t>
      </w:r>
      <w:r w:rsidR="008130DC">
        <w:rPr>
          <w:rFonts w:cstheme="minorHAnsi"/>
        </w:rPr>
        <w:t>70</w:t>
      </w:r>
      <w:r>
        <w:rPr>
          <w:rFonts w:cstheme="minorHAnsi"/>
        </w:rPr>
        <w:t>% u odnosu na godišnji plan za 202</w:t>
      </w:r>
      <w:r w:rsidR="008130DC">
        <w:rPr>
          <w:rFonts w:cstheme="minorHAnsi"/>
        </w:rPr>
        <w:t>4</w:t>
      </w:r>
      <w:r>
        <w:rPr>
          <w:rFonts w:cstheme="minorHAnsi"/>
        </w:rPr>
        <w:t>. godinu i 1</w:t>
      </w:r>
      <w:r w:rsidR="008130DC">
        <w:rPr>
          <w:rFonts w:cstheme="minorHAnsi"/>
        </w:rPr>
        <w:t>33</w:t>
      </w:r>
      <w:r>
        <w:rPr>
          <w:rFonts w:cstheme="minorHAnsi"/>
        </w:rPr>
        <w:t>,</w:t>
      </w:r>
      <w:r w:rsidR="008130DC">
        <w:rPr>
          <w:rFonts w:cstheme="minorHAnsi"/>
        </w:rPr>
        <w:t>96</w:t>
      </w:r>
      <w:r>
        <w:rPr>
          <w:rFonts w:cstheme="minorHAnsi"/>
        </w:rPr>
        <w:t>%  u odnosu na isto izvještajno razdoblje prethodne godine.</w:t>
      </w:r>
    </w:p>
    <w:p w14:paraId="22760007" w14:textId="77777777" w:rsidR="001C4242" w:rsidRDefault="00000000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Prikaz ostvarenja rashoda poslovanja: </w:t>
      </w:r>
    </w:p>
    <w:p w14:paraId="23EBDE4B" w14:textId="5423AB51" w:rsidR="001C4242" w:rsidRDefault="00000000">
      <w:pPr>
        <w:ind w:firstLine="708"/>
        <w:jc w:val="both"/>
        <w:rPr>
          <w:rFonts w:cstheme="minorHAnsi"/>
          <w:b/>
          <w:bCs/>
        </w:rPr>
      </w:pPr>
      <w:r>
        <w:rPr>
          <w:rFonts w:cstheme="minorHAnsi"/>
        </w:rPr>
        <w:t xml:space="preserve">- plaće (bruto) (311) izvršeni u iznosu od </w:t>
      </w:r>
      <w:r w:rsidR="008136C7">
        <w:rPr>
          <w:rFonts w:cstheme="minorHAnsi"/>
        </w:rPr>
        <w:t>56</w:t>
      </w:r>
      <w:r>
        <w:rPr>
          <w:rFonts w:cstheme="minorHAnsi"/>
        </w:rPr>
        <w:t>.</w:t>
      </w:r>
      <w:r w:rsidR="008136C7">
        <w:rPr>
          <w:rFonts w:cstheme="minorHAnsi"/>
        </w:rPr>
        <w:t>518,38</w:t>
      </w:r>
      <w:r>
        <w:rPr>
          <w:rFonts w:cstheme="minorHAnsi"/>
        </w:rPr>
        <w:t xml:space="preserve"> eura ili </w:t>
      </w:r>
      <w:r w:rsidR="008136C7">
        <w:rPr>
          <w:rFonts w:cstheme="minorHAnsi"/>
        </w:rPr>
        <w:t>47</w:t>
      </w:r>
      <w:r>
        <w:rPr>
          <w:rFonts w:cstheme="minorHAnsi"/>
        </w:rPr>
        <w:t>,</w:t>
      </w:r>
      <w:r w:rsidR="008136C7">
        <w:rPr>
          <w:rFonts w:cstheme="minorHAnsi"/>
        </w:rPr>
        <w:t>49</w:t>
      </w:r>
      <w:r>
        <w:rPr>
          <w:rFonts w:cstheme="minorHAnsi"/>
        </w:rPr>
        <w:t>% u odnosu na godišnji  plan za 202</w:t>
      </w:r>
      <w:r w:rsidR="008136C7">
        <w:rPr>
          <w:rFonts w:cstheme="minorHAnsi"/>
        </w:rPr>
        <w:t>4</w:t>
      </w:r>
      <w:r>
        <w:rPr>
          <w:rFonts w:cstheme="minorHAnsi"/>
        </w:rPr>
        <w:t xml:space="preserve">. godinu,                          </w:t>
      </w:r>
    </w:p>
    <w:p w14:paraId="2ABB9D3E" w14:textId="01EDA189" w:rsidR="001C4242" w:rsidRDefault="00000000">
      <w:pPr>
        <w:ind w:firstLine="708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- ostali rashodi za zaposlene (312) izvršeni u iznosu od </w:t>
      </w:r>
      <w:r w:rsidR="0006336A">
        <w:rPr>
          <w:rFonts w:cstheme="minorHAnsi"/>
        </w:rPr>
        <w:t>4.929,39</w:t>
      </w:r>
      <w:r>
        <w:rPr>
          <w:rFonts w:cstheme="minorHAnsi"/>
        </w:rPr>
        <w:t xml:space="preserve"> eura ili </w:t>
      </w:r>
      <w:r w:rsidR="008136C7">
        <w:rPr>
          <w:rFonts w:cstheme="minorHAnsi"/>
        </w:rPr>
        <w:t>32</w:t>
      </w:r>
      <w:r>
        <w:rPr>
          <w:rFonts w:cstheme="minorHAnsi"/>
        </w:rPr>
        <w:t>,</w:t>
      </w:r>
      <w:r w:rsidR="008136C7">
        <w:rPr>
          <w:rFonts w:cstheme="minorHAnsi"/>
        </w:rPr>
        <w:t>86</w:t>
      </w:r>
      <w:r>
        <w:rPr>
          <w:rFonts w:cstheme="minorHAnsi"/>
        </w:rPr>
        <w:t>% u odnosu na godišnji plan za 202</w:t>
      </w:r>
      <w:r w:rsidR="008136C7">
        <w:rPr>
          <w:rFonts w:cstheme="minorHAnsi"/>
        </w:rPr>
        <w:t>4</w:t>
      </w:r>
      <w:r>
        <w:rPr>
          <w:rFonts w:cstheme="minorHAnsi"/>
        </w:rPr>
        <w:t>. godinu,</w:t>
      </w:r>
    </w:p>
    <w:p w14:paraId="7A8C1DA0" w14:textId="77DC2D78" w:rsidR="001C4242" w:rsidRDefault="00000000">
      <w:pPr>
        <w:ind w:firstLine="708"/>
        <w:jc w:val="both"/>
        <w:rPr>
          <w:rFonts w:cstheme="minorHAnsi"/>
        </w:rPr>
      </w:pPr>
      <w:r>
        <w:rPr>
          <w:rFonts w:cstheme="minorHAnsi"/>
        </w:rPr>
        <w:t xml:space="preserve">- doprinosi na plaće (313) u iznosu od </w:t>
      </w:r>
      <w:r w:rsidR="008136C7">
        <w:rPr>
          <w:rFonts w:cstheme="minorHAnsi"/>
        </w:rPr>
        <w:t>9</w:t>
      </w:r>
      <w:r>
        <w:rPr>
          <w:rFonts w:cstheme="minorHAnsi"/>
        </w:rPr>
        <w:t>.</w:t>
      </w:r>
      <w:r w:rsidR="008136C7">
        <w:rPr>
          <w:rFonts w:cstheme="minorHAnsi"/>
        </w:rPr>
        <w:t>325</w:t>
      </w:r>
      <w:r>
        <w:rPr>
          <w:rFonts w:cstheme="minorHAnsi"/>
        </w:rPr>
        <w:t>,</w:t>
      </w:r>
      <w:r w:rsidR="008136C7">
        <w:rPr>
          <w:rFonts w:cstheme="minorHAnsi"/>
        </w:rPr>
        <w:t>55</w:t>
      </w:r>
      <w:r>
        <w:rPr>
          <w:rFonts w:cstheme="minorHAnsi"/>
        </w:rPr>
        <w:t xml:space="preserve"> eura ili 4</w:t>
      </w:r>
      <w:r w:rsidR="008136C7">
        <w:rPr>
          <w:rFonts w:cstheme="minorHAnsi"/>
        </w:rPr>
        <w:t>6</w:t>
      </w:r>
      <w:r>
        <w:rPr>
          <w:rFonts w:cstheme="minorHAnsi"/>
        </w:rPr>
        <w:t>,</w:t>
      </w:r>
      <w:r w:rsidR="008136C7">
        <w:rPr>
          <w:rFonts w:cstheme="minorHAnsi"/>
        </w:rPr>
        <w:t>63</w:t>
      </w:r>
      <w:r>
        <w:rPr>
          <w:rFonts w:cstheme="minorHAnsi"/>
        </w:rPr>
        <w:t>% u odnosu na godišnji plan za 202</w:t>
      </w:r>
      <w:r w:rsidR="008136C7">
        <w:rPr>
          <w:rFonts w:cstheme="minorHAnsi"/>
        </w:rPr>
        <w:t>4</w:t>
      </w:r>
      <w:r>
        <w:rPr>
          <w:rFonts w:cstheme="minorHAnsi"/>
        </w:rPr>
        <w:t>. godinu,</w:t>
      </w:r>
    </w:p>
    <w:p w14:paraId="6C59759D" w14:textId="78B48FF2" w:rsidR="001C4242" w:rsidRDefault="00000000">
      <w:pPr>
        <w:ind w:firstLine="708"/>
        <w:jc w:val="both"/>
        <w:rPr>
          <w:rFonts w:cstheme="minorHAnsi"/>
        </w:rPr>
      </w:pPr>
      <w:r>
        <w:rPr>
          <w:rFonts w:cstheme="minorHAnsi"/>
        </w:rPr>
        <w:t>- naknade troškova zaposlenima (321) u iznosu od 3.</w:t>
      </w:r>
      <w:r w:rsidR="008136C7">
        <w:rPr>
          <w:rFonts w:cstheme="minorHAnsi"/>
        </w:rPr>
        <w:t>396</w:t>
      </w:r>
      <w:r>
        <w:rPr>
          <w:rFonts w:cstheme="minorHAnsi"/>
        </w:rPr>
        <w:t>,</w:t>
      </w:r>
      <w:r w:rsidR="008136C7">
        <w:rPr>
          <w:rFonts w:cstheme="minorHAnsi"/>
        </w:rPr>
        <w:t>68</w:t>
      </w:r>
      <w:r>
        <w:rPr>
          <w:rFonts w:cstheme="minorHAnsi"/>
        </w:rPr>
        <w:t xml:space="preserve"> eura ili </w:t>
      </w:r>
      <w:r w:rsidR="008136C7">
        <w:rPr>
          <w:rFonts w:cstheme="minorHAnsi"/>
        </w:rPr>
        <w:t>37</w:t>
      </w:r>
      <w:r>
        <w:rPr>
          <w:rFonts w:cstheme="minorHAnsi"/>
        </w:rPr>
        <w:t>,</w:t>
      </w:r>
      <w:r w:rsidR="008136C7">
        <w:rPr>
          <w:rFonts w:cstheme="minorHAnsi"/>
        </w:rPr>
        <w:t>33</w:t>
      </w:r>
      <w:r>
        <w:rPr>
          <w:rFonts w:cstheme="minorHAnsi"/>
        </w:rPr>
        <w:t>% u odnosu na godišnji plan za 202</w:t>
      </w:r>
      <w:r w:rsidR="008136C7">
        <w:rPr>
          <w:rFonts w:cstheme="minorHAnsi"/>
        </w:rPr>
        <w:t>4</w:t>
      </w:r>
      <w:r>
        <w:rPr>
          <w:rFonts w:cstheme="minorHAnsi"/>
        </w:rPr>
        <w:t xml:space="preserve">. godinu, </w:t>
      </w:r>
      <w:r>
        <w:rPr>
          <w:rFonts w:cstheme="minorHAnsi"/>
        </w:rPr>
        <w:tab/>
      </w:r>
    </w:p>
    <w:p w14:paraId="3F01F6DB" w14:textId="4DBA71B7" w:rsidR="001C4242" w:rsidRDefault="00000000">
      <w:pPr>
        <w:ind w:firstLine="708"/>
        <w:jc w:val="both"/>
        <w:rPr>
          <w:rFonts w:cstheme="minorHAnsi"/>
        </w:rPr>
      </w:pPr>
      <w:r>
        <w:rPr>
          <w:rFonts w:cstheme="minorHAnsi"/>
        </w:rPr>
        <w:t>- rashodi za materijal i energiju (322) u iznosu od 4</w:t>
      </w:r>
      <w:r w:rsidR="008136C7">
        <w:rPr>
          <w:rFonts w:cstheme="minorHAnsi"/>
        </w:rPr>
        <w:t>9</w:t>
      </w:r>
      <w:r>
        <w:rPr>
          <w:rFonts w:cstheme="minorHAnsi"/>
        </w:rPr>
        <w:t>.</w:t>
      </w:r>
      <w:r w:rsidR="008136C7">
        <w:rPr>
          <w:rFonts w:cstheme="minorHAnsi"/>
        </w:rPr>
        <w:t>12</w:t>
      </w:r>
      <w:r w:rsidR="00025E75">
        <w:rPr>
          <w:rFonts w:cstheme="minorHAnsi"/>
        </w:rPr>
        <w:t>2</w:t>
      </w:r>
      <w:r>
        <w:rPr>
          <w:rFonts w:cstheme="minorHAnsi"/>
        </w:rPr>
        <w:t>,</w:t>
      </w:r>
      <w:r w:rsidR="00025E75">
        <w:rPr>
          <w:rFonts w:cstheme="minorHAnsi"/>
        </w:rPr>
        <w:t>83</w:t>
      </w:r>
      <w:r>
        <w:rPr>
          <w:rFonts w:cstheme="minorHAnsi"/>
        </w:rPr>
        <w:t xml:space="preserve"> eura ili </w:t>
      </w:r>
      <w:r w:rsidR="008136C7">
        <w:rPr>
          <w:rFonts w:cstheme="minorHAnsi"/>
        </w:rPr>
        <w:t>4</w:t>
      </w:r>
      <w:r>
        <w:rPr>
          <w:rFonts w:cstheme="minorHAnsi"/>
        </w:rPr>
        <w:t>6,</w:t>
      </w:r>
      <w:r w:rsidR="008136C7">
        <w:rPr>
          <w:rFonts w:cstheme="minorHAnsi"/>
        </w:rPr>
        <w:t>92</w:t>
      </w:r>
      <w:r>
        <w:rPr>
          <w:rFonts w:cstheme="minorHAnsi"/>
        </w:rPr>
        <w:t>% u odnosu na godišnji plan za 202</w:t>
      </w:r>
      <w:r w:rsidR="008136C7">
        <w:rPr>
          <w:rFonts w:cstheme="minorHAnsi"/>
        </w:rPr>
        <w:t>4</w:t>
      </w:r>
      <w:r>
        <w:rPr>
          <w:rFonts w:cstheme="minorHAnsi"/>
        </w:rPr>
        <w:t>. godinu</w:t>
      </w:r>
      <w:r w:rsidR="0006336A">
        <w:rPr>
          <w:rFonts w:cstheme="minorHAnsi"/>
        </w:rPr>
        <w:t>,</w:t>
      </w:r>
    </w:p>
    <w:p w14:paraId="4967FBE9" w14:textId="026B8660" w:rsidR="001C4242" w:rsidRDefault="00000000">
      <w:pPr>
        <w:ind w:firstLine="708"/>
        <w:jc w:val="both"/>
        <w:rPr>
          <w:rFonts w:cstheme="minorHAnsi"/>
        </w:rPr>
      </w:pPr>
      <w:r>
        <w:rPr>
          <w:rFonts w:cstheme="minorHAnsi"/>
        </w:rPr>
        <w:t xml:space="preserve">- rashodi za usluge (323) u iznosu od </w:t>
      </w:r>
      <w:r w:rsidR="008136C7">
        <w:rPr>
          <w:rFonts w:cstheme="minorHAnsi"/>
        </w:rPr>
        <w:t>282</w:t>
      </w:r>
      <w:r>
        <w:rPr>
          <w:rFonts w:cstheme="minorHAnsi"/>
        </w:rPr>
        <w:t>.</w:t>
      </w:r>
      <w:r w:rsidR="008136C7">
        <w:rPr>
          <w:rFonts w:cstheme="minorHAnsi"/>
        </w:rPr>
        <w:t>830</w:t>
      </w:r>
      <w:r>
        <w:rPr>
          <w:rFonts w:cstheme="minorHAnsi"/>
        </w:rPr>
        <w:t>,</w:t>
      </w:r>
      <w:r w:rsidR="008136C7">
        <w:rPr>
          <w:rFonts w:cstheme="minorHAnsi"/>
        </w:rPr>
        <w:t>47</w:t>
      </w:r>
      <w:r>
        <w:rPr>
          <w:rFonts w:cstheme="minorHAnsi"/>
        </w:rPr>
        <w:t xml:space="preserve"> eura ili </w:t>
      </w:r>
      <w:r w:rsidR="008136C7">
        <w:rPr>
          <w:rFonts w:cstheme="minorHAnsi"/>
        </w:rPr>
        <w:t>45</w:t>
      </w:r>
      <w:r>
        <w:rPr>
          <w:rFonts w:cstheme="minorHAnsi"/>
        </w:rPr>
        <w:t>,</w:t>
      </w:r>
      <w:r w:rsidR="008136C7">
        <w:rPr>
          <w:rFonts w:cstheme="minorHAnsi"/>
        </w:rPr>
        <w:t>26</w:t>
      </w:r>
      <w:r>
        <w:rPr>
          <w:rFonts w:cstheme="minorHAnsi"/>
        </w:rPr>
        <w:t>% u odnosu na godišnji plan za 202</w:t>
      </w:r>
      <w:r w:rsidR="008136C7">
        <w:rPr>
          <w:rFonts w:cstheme="minorHAnsi"/>
        </w:rPr>
        <w:t>4</w:t>
      </w:r>
      <w:r>
        <w:rPr>
          <w:rFonts w:cstheme="minorHAnsi"/>
        </w:rPr>
        <w:t>. godinu,</w:t>
      </w:r>
    </w:p>
    <w:p w14:paraId="3537F702" w14:textId="77CE5712" w:rsidR="001C4242" w:rsidRDefault="00000000">
      <w:pPr>
        <w:ind w:firstLine="708"/>
        <w:jc w:val="both"/>
        <w:rPr>
          <w:rFonts w:cstheme="minorHAnsi"/>
        </w:rPr>
      </w:pPr>
      <w:r>
        <w:rPr>
          <w:rFonts w:cstheme="minorHAnsi"/>
        </w:rPr>
        <w:t>- ostali nespomenuti rashodi poslovanja (329) u iznosu od 3</w:t>
      </w:r>
      <w:r w:rsidR="008136C7">
        <w:rPr>
          <w:rFonts w:cstheme="minorHAnsi"/>
        </w:rPr>
        <w:t>1</w:t>
      </w:r>
      <w:r>
        <w:rPr>
          <w:rFonts w:cstheme="minorHAnsi"/>
        </w:rPr>
        <w:t>.</w:t>
      </w:r>
      <w:r w:rsidR="008136C7">
        <w:rPr>
          <w:rFonts w:cstheme="minorHAnsi"/>
        </w:rPr>
        <w:t>800</w:t>
      </w:r>
      <w:r>
        <w:rPr>
          <w:rFonts w:cstheme="minorHAnsi"/>
        </w:rPr>
        <w:t>,</w:t>
      </w:r>
      <w:r w:rsidR="008136C7">
        <w:rPr>
          <w:rFonts w:cstheme="minorHAnsi"/>
        </w:rPr>
        <w:t>71</w:t>
      </w:r>
      <w:r>
        <w:rPr>
          <w:rFonts w:cstheme="minorHAnsi"/>
        </w:rPr>
        <w:t xml:space="preserve"> eura ili 4</w:t>
      </w:r>
      <w:r w:rsidR="008136C7">
        <w:rPr>
          <w:rFonts w:cstheme="minorHAnsi"/>
        </w:rPr>
        <w:t>4</w:t>
      </w:r>
      <w:r>
        <w:rPr>
          <w:rFonts w:cstheme="minorHAnsi"/>
        </w:rPr>
        <w:t>,</w:t>
      </w:r>
      <w:r w:rsidR="008136C7">
        <w:rPr>
          <w:rFonts w:cstheme="minorHAnsi"/>
        </w:rPr>
        <w:t>32</w:t>
      </w:r>
      <w:r>
        <w:rPr>
          <w:rFonts w:cstheme="minorHAnsi"/>
        </w:rPr>
        <w:t>% u odnosu na godišnji plan za 202</w:t>
      </w:r>
      <w:r w:rsidR="008136C7">
        <w:rPr>
          <w:rFonts w:cstheme="minorHAnsi"/>
        </w:rPr>
        <w:t>4</w:t>
      </w:r>
      <w:r>
        <w:rPr>
          <w:rFonts w:cstheme="minorHAnsi"/>
        </w:rPr>
        <w:t>. godinu,</w:t>
      </w:r>
    </w:p>
    <w:p w14:paraId="41F6B618" w14:textId="1FED51E6" w:rsidR="001C4242" w:rsidRDefault="00000000">
      <w:pPr>
        <w:ind w:firstLine="708"/>
        <w:jc w:val="both"/>
        <w:rPr>
          <w:rFonts w:cstheme="minorHAnsi"/>
        </w:rPr>
      </w:pPr>
      <w:r>
        <w:rPr>
          <w:rFonts w:cstheme="minorHAnsi"/>
        </w:rPr>
        <w:t xml:space="preserve">- ostali financijski rashodi (343) u iznosu od </w:t>
      </w:r>
      <w:r w:rsidR="008136C7">
        <w:rPr>
          <w:rFonts w:cstheme="minorHAnsi"/>
        </w:rPr>
        <w:t>617,30</w:t>
      </w:r>
      <w:r>
        <w:rPr>
          <w:rFonts w:cstheme="minorHAnsi"/>
        </w:rPr>
        <w:t xml:space="preserve"> eura ili </w:t>
      </w:r>
      <w:r w:rsidR="008136C7">
        <w:rPr>
          <w:rFonts w:cstheme="minorHAnsi"/>
        </w:rPr>
        <w:t>16</w:t>
      </w:r>
      <w:r>
        <w:rPr>
          <w:rFonts w:cstheme="minorHAnsi"/>
        </w:rPr>
        <w:t>,</w:t>
      </w:r>
      <w:r w:rsidR="008136C7">
        <w:rPr>
          <w:rFonts w:cstheme="minorHAnsi"/>
        </w:rPr>
        <w:t>24</w:t>
      </w:r>
      <w:r>
        <w:rPr>
          <w:rFonts w:cstheme="minorHAnsi"/>
        </w:rPr>
        <w:t>% u odnosu na godišnji plan za 202</w:t>
      </w:r>
      <w:r w:rsidR="008136C7">
        <w:rPr>
          <w:rFonts w:cstheme="minorHAnsi"/>
        </w:rPr>
        <w:t>4</w:t>
      </w:r>
      <w:r>
        <w:rPr>
          <w:rFonts w:cstheme="minorHAnsi"/>
        </w:rPr>
        <w:t>. godinu,</w:t>
      </w:r>
    </w:p>
    <w:p w14:paraId="30B4968E" w14:textId="6958D81A" w:rsidR="001C4242" w:rsidRDefault="00000000">
      <w:pPr>
        <w:ind w:left="708"/>
        <w:jc w:val="both"/>
        <w:rPr>
          <w:rFonts w:cstheme="minorHAnsi"/>
        </w:rPr>
      </w:pPr>
      <w:r>
        <w:rPr>
          <w:rFonts w:cstheme="minorHAnsi"/>
        </w:rPr>
        <w:t xml:space="preserve">- subvencije trgovačkim društvima, zadrugama, poljoprivrednicima i obrtnicima izvan javnog sektora (352) u iznosu od </w:t>
      </w:r>
      <w:r w:rsidR="008136C7">
        <w:rPr>
          <w:rFonts w:cstheme="minorHAnsi"/>
        </w:rPr>
        <w:t>101</w:t>
      </w:r>
      <w:r>
        <w:rPr>
          <w:rFonts w:cstheme="minorHAnsi"/>
        </w:rPr>
        <w:t>.</w:t>
      </w:r>
      <w:r w:rsidR="008136C7">
        <w:rPr>
          <w:rFonts w:cstheme="minorHAnsi"/>
        </w:rPr>
        <w:t>730</w:t>
      </w:r>
      <w:r>
        <w:rPr>
          <w:rFonts w:cstheme="minorHAnsi"/>
        </w:rPr>
        <w:t>,</w:t>
      </w:r>
      <w:r w:rsidR="008136C7">
        <w:rPr>
          <w:rFonts w:cstheme="minorHAnsi"/>
        </w:rPr>
        <w:t>84</w:t>
      </w:r>
      <w:r>
        <w:rPr>
          <w:rFonts w:cstheme="minorHAnsi"/>
        </w:rPr>
        <w:t xml:space="preserve"> eura ili 5</w:t>
      </w:r>
      <w:r w:rsidR="008136C7">
        <w:rPr>
          <w:rFonts w:cstheme="minorHAnsi"/>
        </w:rPr>
        <w:t>6</w:t>
      </w:r>
      <w:r>
        <w:rPr>
          <w:rFonts w:cstheme="minorHAnsi"/>
        </w:rPr>
        <w:t>,</w:t>
      </w:r>
      <w:r w:rsidR="008136C7">
        <w:rPr>
          <w:rFonts w:cstheme="minorHAnsi"/>
        </w:rPr>
        <w:t>52</w:t>
      </w:r>
      <w:r>
        <w:rPr>
          <w:rFonts w:cstheme="minorHAnsi"/>
        </w:rPr>
        <w:t xml:space="preserve">% u odnosu na godišnji  </w:t>
      </w:r>
    </w:p>
    <w:p w14:paraId="1B008547" w14:textId="6860DC66" w:rsidR="001C4242" w:rsidRDefault="00000000">
      <w:pPr>
        <w:jc w:val="both"/>
        <w:rPr>
          <w:rFonts w:cstheme="minorHAnsi"/>
        </w:rPr>
      </w:pPr>
      <w:r>
        <w:rPr>
          <w:rFonts w:cstheme="minorHAnsi"/>
        </w:rPr>
        <w:t xml:space="preserve">                 plan za 202</w:t>
      </w:r>
      <w:r w:rsidR="008136C7">
        <w:rPr>
          <w:rFonts w:cstheme="minorHAnsi"/>
        </w:rPr>
        <w:t>4</w:t>
      </w:r>
      <w:r>
        <w:rPr>
          <w:rFonts w:cstheme="minorHAnsi"/>
        </w:rPr>
        <w:t>. godinu,</w:t>
      </w:r>
    </w:p>
    <w:p w14:paraId="3C59D69D" w14:textId="7829D815" w:rsidR="001C4242" w:rsidRDefault="00000000">
      <w:pPr>
        <w:ind w:firstLine="708"/>
        <w:jc w:val="both"/>
        <w:rPr>
          <w:rFonts w:cstheme="minorHAnsi"/>
        </w:rPr>
      </w:pPr>
      <w:r>
        <w:rPr>
          <w:rFonts w:cstheme="minorHAnsi"/>
        </w:rPr>
        <w:t xml:space="preserve">- pomoći unutar općeg proračuna (363) u iznosu od </w:t>
      </w:r>
      <w:r w:rsidR="008136C7">
        <w:rPr>
          <w:rFonts w:cstheme="minorHAnsi"/>
        </w:rPr>
        <w:t>85.</w:t>
      </w:r>
      <w:r w:rsidR="00732FFE">
        <w:rPr>
          <w:rFonts w:cstheme="minorHAnsi"/>
        </w:rPr>
        <w:t>391,53</w:t>
      </w:r>
      <w:r>
        <w:rPr>
          <w:rFonts w:cstheme="minorHAnsi"/>
        </w:rPr>
        <w:t xml:space="preserve"> eura ili </w:t>
      </w:r>
      <w:r w:rsidR="00732FFE">
        <w:rPr>
          <w:rFonts w:cstheme="minorHAnsi"/>
        </w:rPr>
        <w:t>83</w:t>
      </w:r>
      <w:r>
        <w:rPr>
          <w:rFonts w:cstheme="minorHAnsi"/>
        </w:rPr>
        <w:t>,</w:t>
      </w:r>
      <w:r w:rsidR="00732FFE">
        <w:rPr>
          <w:rFonts w:cstheme="minorHAnsi"/>
        </w:rPr>
        <w:t>14</w:t>
      </w:r>
      <w:r>
        <w:rPr>
          <w:rFonts w:cstheme="minorHAnsi"/>
        </w:rPr>
        <w:t xml:space="preserve"> % u odnosu na godišnji plan za 202</w:t>
      </w:r>
      <w:r w:rsidR="00732FFE">
        <w:rPr>
          <w:rFonts w:cstheme="minorHAnsi"/>
        </w:rPr>
        <w:t>4</w:t>
      </w:r>
      <w:r>
        <w:rPr>
          <w:rFonts w:cstheme="minorHAnsi"/>
        </w:rPr>
        <w:t xml:space="preserve">. godinu, </w:t>
      </w:r>
    </w:p>
    <w:p w14:paraId="5D8B29F6" w14:textId="6BFE682B" w:rsidR="001C4242" w:rsidRDefault="00000000">
      <w:pPr>
        <w:ind w:firstLine="708"/>
        <w:jc w:val="both"/>
        <w:rPr>
          <w:rFonts w:cstheme="minorHAnsi"/>
        </w:rPr>
      </w:pPr>
      <w:r>
        <w:rPr>
          <w:rFonts w:cstheme="minorHAnsi"/>
        </w:rPr>
        <w:t xml:space="preserve">- pomoći proračunskim korisnicima drugih proračuna (366) u iznosu od </w:t>
      </w:r>
      <w:r w:rsidR="00732FFE">
        <w:rPr>
          <w:rFonts w:cstheme="minorHAnsi"/>
        </w:rPr>
        <w:t>12</w:t>
      </w:r>
      <w:r>
        <w:rPr>
          <w:rFonts w:cstheme="minorHAnsi"/>
        </w:rPr>
        <w:t>.</w:t>
      </w:r>
      <w:r w:rsidR="00732FFE">
        <w:rPr>
          <w:rFonts w:cstheme="minorHAnsi"/>
        </w:rPr>
        <w:t>788,88</w:t>
      </w:r>
      <w:r>
        <w:rPr>
          <w:rFonts w:cstheme="minorHAnsi"/>
        </w:rPr>
        <w:t xml:space="preserve"> eura ili </w:t>
      </w:r>
      <w:r w:rsidR="00732FFE">
        <w:rPr>
          <w:rFonts w:cstheme="minorHAnsi"/>
        </w:rPr>
        <w:t>28</w:t>
      </w:r>
      <w:r>
        <w:rPr>
          <w:rFonts w:cstheme="minorHAnsi"/>
        </w:rPr>
        <w:t>,</w:t>
      </w:r>
      <w:r w:rsidR="00732FFE">
        <w:rPr>
          <w:rFonts w:cstheme="minorHAnsi"/>
        </w:rPr>
        <w:t>53</w:t>
      </w:r>
      <w:r>
        <w:rPr>
          <w:rFonts w:cstheme="minorHAnsi"/>
        </w:rPr>
        <w:t>% u odnosu na godišnji plan za 202</w:t>
      </w:r>
      <w:r w:rsidR="00732FFE">
        <w:rPr>
          <w:rFonts w:cstheme="minorHAnsi"/>
        </w:rPr>
        <w:t>4</w:t>
      </w:r>
      <w:r>
        <w:rPr>
          <w:rFonts w:cstheme="minorHAnsi"/>
        </w:rPr>
        <w:t>. godinu,</w:t>
      </w:r>
    </w:p>
    <w:p w14:paraId="3ED5B5E8" w14:textId="7237BE89" w:rsidR="001C4242" w:rsidRDefault="00000000">
      <w:pPr>
        <w:ind w:firstLine="708"/>
        <w:jc w:val="both"/>
        <w:rPr>
          <w:rFonts w:cstheme="minorHAnsi"/>
        </w:rPr>
      </w:pPr>
      <w:r>
        <w:rPr>
          <w:rFonts w:cstheme="minorHAnsi"/>
        </w:rPr>
        <w:t>- ostale naknade građanima i kućanstvima iz proračuna (372) u iznosu od 1</w:t>
      </w:r>
      <w:r w:rsidR="00732FFE">
        <w:rPr>
          <w:rFonts w:cstheme="minorHAnsi"/>
        </w:rPr>
        <w:t>34</w:t>
      </w:r>
      <w:r>
        <w:rPr>
          <w:rFonts w:cstheme="minorHAnsi"/>
        </w:rPr>
        <w:t>.</w:t>
      </w:r>
      <w:r w:rsidR="00732FFE">
        <w:rPr>
          <w:rFonts w:cstheme="minorHAnsi"/>
        </w:rPr>
        <w:t>317</w:t>
      </w:r>
      <w:r>
        <w:rPr>
          <w:rFonts w:cstheme="minorHAnsi"/>
        </w:rPr>
        <w:t>,</w:t>
      </w:r>
      <w:r w:rsidR="00732FFE">
        <w:rPr>
          <w:rFonts w:cstheme="minorHAnsi"/>
        </w:rPr>
        <w:t>30</w:t>
      </w:r>
      <w:r>
        <w:rPr>
          <w:rFonts w:cstheme="minorHAnsi"/>
        </w:rPr>
        <w:t xml:space="preserve"> eura ili </w:t>
      </w:r>
      <w:r w:rsidR="00732FFE">
        <w:rPr>
          <w:rFonts w:cstheme="minorHAnsi"/>
        </w:rPr>
        <w:t>54,60</w:t>
      </w:r>
      <w:r>
        <w:rPr>
          <w:rFonts w:cstheme="minorHAnsi"/>
        </w:rPr>
        <w:t>% u odnosu na godišnji plan za 202</w:t>
      </w:r>
      <w:r w:rsidR="00732FFE">
        <w:rPr>
          <w:rFonts w:cstheme="minorHAnsi"/>
        </w:rPr>
        <w:t>4</w:t>
      </w:r>
      <w:r>
        <w:rPr>
          <w:rFonts w:cstheme="minorHAnsi"/>
        </w:rPr>
        <w:t>. godinu,</w:t>
      </w:r>
    </w:p>
    <w:p w14:paraId="27B06292" w14:textId="2E95F839" w:rsidR="001C4242" w:rsidRDefault="00000000">
      <w:pPr>
        <w:ind w:firstLine="708"/>
        <w:jc w:val="both"/>
        <w:rPr>
          <w:rFonts w:cstheme="minorHAnsi"/>
        </w:rPr>
      </w:pPr>
      <w:r>
        <w:rPr>
          <w:rFonts w:cstheme="minorHAnsi"/>
        </w:rPr>
        <w:t xml:space="preserve">- tekuće donacije (381) u iznosu od </w:t>
      </w:r>
      <w:r w:rsidR="00732FFE">
        <w:rPr>
          <w:rFonts w:cstheme="minorHAnsi"/>
        </w:rPr>
        <w:t>121</w:t>
      </w:r>
      <w:r>
        <w:rPr>
          <w:rFonts w:cstheme="minorHAnsi"/>
        </w:rPr>
        <w:t>.</w:t>
      </w:r>
      <w:r w:rsidR="00732FFE">
        <w:rPr>
          <w:rFonts w:cstheme="minorHAnsi"/>
        </w:rPr>
        <w:t>942</w:t>
      </w:r>
      <w:r>
        <w:rPr>
          <w:rFonts w:cstheme="minorHAnsi"/>
        </w:rPr>
        <w:t>,</w:t>
      </w:r>
      <w:r w:rsidR="00732FFE">
        <w:rPr>
          <w:rFonts w:cstheme="minorHAnsi"/>
        </w:rPr>
        <w:t>53</w:t>
      </w:r>
      <w:r>
        <w:rPr>
          <w:rFonts w:cstheme="minorHAnsi"/>
        </w:rPr>
        <w:t xml:space="preserve"> eura ili </w:t>
      </w:r>
      <w:r w:rsidR="00732FFE">
        <w:rPr>
          <w:rFonts w:cstheme="minorHAnsi"/>
        </w:rPr>
        <w:t>86</w:t>
      </w:r>
      <w:r>
        <w:rPr>
          <w:rFonts w:cstheme="minorHAnsi"/>
        </w:rPr>
        <w:t>,</w:t>
      </w:r>
      <w:r w:rsidR="00732FFE">
        <w:rPr>
          <w:rFonts w:cstheme="minorHAnsi"/>
        </w:rPr>
        <w:t>98</w:t>
      </w:r>
      <w:r>
        <w:rPr>
          <w:rFonts w:cstheme="minorHAnsi"/>
        </w:rPr>
        <w:t>% u odnosu na godišnji plan za 202</w:t>
      </w:r>
      <w:r w:rsidR="00732FFE">
        <w:rPr>
          <w:rFonts w:cstheme="minorHAnsi"/>
        </w:rPr>
        <w:t>4</w:t>
      </w:r>
      <w:r>
        <w:rPr>
          <w:rFonts w:cstheme="minorHAnsi"/>
        </w:rPr>
        <w:t>. godinu,</w:t>
      </w:r>
    </w:p>
    <w:p w14:paraId="727CF9B1" w14:textId="6D891B1E" w:rsidR="00732FFE" w:rsidRDefault="00732FFE">
      <w:pPr>
        <w:ind w:firstLine="708"/>
        <w:jc w:val="both"/>
        <w:rPr>
          <w:rFonts w:cstheme="minorHAnsi"/>
        </w:rPr>
      </w:pPr>
      <w:r>
        <w:rPr>
          <w:rFonts w:cstheme="minorHAnsi"/>
        </w:rPr>
        <w:t xml:space="preserve">- kazne, penali i naknade štete (383) u iznosu od </w:t>
      </w:r>
      <w:r w:rsidR="003F3938">
        <w:rPr>
          <w:rFonts w:cstheme="minorHAnsi"/>
        </w:rPr>
        <w:t xml:space="preserve">2.000,00 eura ili 100,00% u odnosu na godišnji plan za 2024. godinu,   </w:t>
      </w:r>
      <w:r>
        <w:rPr>
          <w:rFonts w:cstheme="minorHAnsi"/>
        </w:rPr>
        <w:t xml:space="preserve"> </w:t>
      </w:r>
    </w:p>
    <w:p w14:paraId="34C233FC" w14:textId="0046ADF6" w:rsidR="001C4242" w:rsidRDefault="00000000">
      <w:pPr>
        <w:jc w:val="both"/>
        <w:rPr>
          <w:rFonts w:cstheme="minorHAnsi"/>
        </w:rPr>
      </w:pPr>
      <w:r>
        <w:rPr>
          <w:rFonts w:cstheme="minorHAnsi"/>
          <w:b/>
          <w:bCs/>
        </w:rPr>
        <w:tab/>
        <w:t xml:space="preserve">- </w:t>
      </w:r>
      <w:r>
        <w:rPr>
          <w:rFonts w:cstheme="minorHAnsi"/>
        </w:rPr>
        <w:t>kapitalne pomoći (3</w:t>
      </w:r>
      <w:r w:rsidR="003F3938">
        <w:rPr>
          <w:rFonts w:cstheme="minorHAnsi"/>
        </w:rPr>
        <w:t>8</w:t>
      </w:r>
      <w:r>
        <w:rPr>
          <w:rFonts w:cstheme="minorHAnsi"/>
        </w:rPr>
        <w:t xml:space="preserve">6) u iznosu od </w:t>
      </w:r>
      <w:r w:rsidR="003F3938">
        <w:rPr>
          <w:rFonts w:cstheme="minorHAnsi"/>
        </w:rPr>
        <w:t>5</w:t>
      </w:r>
      <w:r>
        <w:rPr>
          <w:rFonts w:cstheme="minorHAnsi"/>
        </w:rPr>
        <w:t>.</w:t>
      </w:r>
      <w:r w:rsidR="003F3938">
        <w:rPr>
          <w:rFonts w:cstheme="minorHAnsi"/>
        </w:rPr>
        <w:t>0</w:t>
      </w:r>
      <w:r w:rsidR="00254561">
        <w:rPr>
          <w:rFonts w:cstheme="minorHAnsi"/>
        </w:rPr>
        <w:t>8</w:t>
      </w:r>
      <w:r w:rsidR="003F3938">
        <w:rPr>
          <w:rFonts w:cstheme="minorHAnsi"/>
        </w:rPr>
        <w:t>1</w:t>
      </w:r>
      <w:r>
        <w:rPr>
          <w:rFonts w:cstheme="minorHAnsi"/>
        </w:rPr>
        <w:t>,</w:t>
      </w:r>
      <w:r w:rsidR="003F3938">
        <w:rPr>
          <w:rFonts w:cstheme="minorHAnsi"/>
        </w:rPr>
        <w:t>04</w:t>
      </w:r>
      <w:r>
        <w:rPr>
          <w:rFonts w:cstheme="minorHAnsi"/>
        </w:rPr>
        <w:t xml:space="preserve"> eura</w:t>
      </w:r>
      <w:r w:rsidR="003F3938">
        <w:rPr>
          <w:rFonts w:cstheme="minorHAnsi"/>
        </w:rPr>
        <w:t xml:space="preserve"> ili </w:t>
      </w:r>
      <w:r w:rsidR="00254561">
        <w:rPr>
          <w:rFonts w:cstheme="minorHAnsi"/>
        </w:rPr>
        <w:t>1,</w:t>
      </w:r>
      <w:r w:rsidR="0006336A">
        <w:rPr>
          <w:rFonts w:cstheme="minorHAnsi"/>
        </w:rPr>
        <w:t>76</w:t>
      </w:r>
      <w:r w:rsidR="00254561">
        <w:rPr>
          <w:rFonts w:cstheme="minorHAnsi"/>
        </w:rPr>
        <w:t>% u odnosu na godišnji plan za 2024. godinu</w:t>
      </w:r>
      <w:r>
        <w:rPr>
          <w:rFonts w:cstheme="minorHAnsi"/>
        </w:rPr>
        <w:t>.</w:t>
      </w:r>
    </w:p>
    <w:p w14:paraId="5D0CE153" w14:textId="3BE0884D" w:rsidR="00254561" w:rsidRDefault="00254561" w:rsidP="00254561">
      <w:pPr>
        <w:ind w:firstLine="708"/>
        <w:jc w:val="both"/>
        <w:rPr>
          <w:rFonts w:cstheme="minorHAnsi"/>
        </w:rPr>
      </w:pPr>
      <w:r>
        <w:rPr>
          <w:rFonts w:cstheme="minorHAnsi"/>
        </w:rPr>
        <w:t xml:space="preserve">Rashodi za nabavu nefinancijske imovine izvršeni su u iznosu od </w:t>
      </w:r>
      <w:r w:rsidR="0046122C">
        <w:rPr>
          <w:rFonts w:cstheme="minorHAnsi"/>
        </w:rPr>
        <w:t>254</w:t>
      </w:r>
      <w:r>
        <w:rPr>
          <w:rFonts w:cstheme="minorHAnsi"/>
        </w:rPr>
        <w:t>.</w:t>
      </w:r>
      <w:r w:rsidR="0046122C">
        <w:rPr>
          <w:rFonts w:cstheme="minorHAnsi"/>
        </w:rPr>
        <w:t>679</w:t>
      </w:r>
      <w:r>
        <w:rPr>
          <w:rFonts w:cstheme="minorHAnsi"/>
        </w:rPr>
        <w:t>,</w:t>
      </w:r>
      <w:r w:rsidR="0046122C">
        <w:rPr>
          <w:rFonts w:cstheme="minorHAnsi"/>
        </w:rPr>
        <w:t>27</w:t>
      </w:r>
      <w:r>
        <w:rPr>
          <w:rFonts w:cstheme="minorHAnsi"/>
        </w:rPr>
        <w:t xml:space="preserve"> eura ili </w:t>
      </w:r>
      <w:r w:rsidR="0046122C">
        <w:rPr>
          <w:rFonts w:cstheme="minorHAnsi"/>
        </w:rPr>
        <w:t>23</w:t>
      </w:r>
      <w:r>
        <w:rPr>
          <w:rFonts w:cstheme="minorHAnsi"/>
        </w:rPr>
        <w:t>,</w:t>
      </w:r>
      <w:r w:rsidR="0046122C">
        <w:rPr>
          <w:rFonts w:cstheme="minorHAnsi"/>
        </w:rPr>
        <w:t>06</w:t>
      </w:r>
      <w:r>
        <w:rPr>
          <w:rFonts w:cstheme="minorHAnsi"/>
        </w:rPr>
        <w:t xml:space="preserve">% u odnosu na godišnji plan za 2024. godinu i </w:t>
      </w:r>
      <w:r w:rsidR="0046122C">
        <w:rPr>
          <w:rFonts w:cstheme="minorHAnsi"/>
        </w:rPr>
        <w:t>82</w:t>
      </w:r>
      <w:r>
        <w:rPr>
          <w:rFonts w:cstheme="minorHAnsi"/>
        </w:rPr>
        <w:t>,</w:t>
      </w:r>
      <w:r w:rsidR="0046122C">
        <w:rPr>
          <w:rFonts w:cstheme="minorHAnsi"/>
        </w:rPr>
        <w:t>19</w:t>
      </w:r>
      <w:r>
        <w:rPr>
          <w:rFonts w:cstheme="minorHAnsi"/>
        </w:rPr>
        <w:t>% u odnosu na isto izvještajno razdoblje prethodne godine.</w:t>
      </w:r>
    </w:p>
    <w:p w14:paraId="19512630" w14:textId="77777777" w:rsidR="001C4242" w:rsidRDefault="00000000">
      <w:pPr>
        <w:ind w:firstLine="708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Prikaz ostvarenja rashoda za nabavu nefinancijske imovine:</w:t>
      </w:r>
    </w:p>
    <w:p w14:paraId="5932B888" w14:textId="5E1D8EE4" w:rsidR="001C4242" w:rsidRDefault="00000000">
      <w:pPr>
        <w:ind w:firstLine="708"/>
        <w:jc w:val="both"/>
        <w:rPr>
          <w:rFonts w:cstheme="minorHAnsi"/>
        </w:rPr>
      </w:pPr>
      <w:r>
        <w:rPr>
          <w:rFonts w:cstheme="minorHAnsi"/>
        </w:rPr>
        <w:t xml:space="preserve">- građevinski objekti (421) u iznosu od </w:t>
      </w:r>
      <w:r w:rsidR="0046122C">
        <w:rPr>
          <w:rFonts w:cstheme="minorHAnsi"/>
        </w:rPr>
        <w:t>238</w:t>
      </w:r>
      <w:r>
        <w:rPr>
          <w:rFonts w:cstheme="minorHAnsi"/>
        </w:rPr>
        <w:t>.,</w:t>
      </w:r>
      <w:r w:rsidR="0046122C">
        <w:rPr>
          <w:rFonts w:cstheme="minorHAnsi"/>
        </w:rPr>
        <w:t>567,41</w:t>
      </w:r>
      <w:r>
        <w:rPr>
          <w:rFonts w:cstheme="minorHAnsi"/>
        </w:rPr>
        <w:t xml:space="preserve"> eura ili </w:t>
      </w:r>
      <w:r w:rsidR="0046122C">
        <w:rPr>
          <w:rFonts w:cstheme="minorHAnsi"/>
        </w:rPr>
        <w:t>26</w:t>
      </w:r>
      <w:r>
        <w:rPr>
          <w:rFonts w:cstheme="minorHAnsi"/>
        </w:rPr>
        <w:t>,</w:t>
      </w:r>
      <w:r w:rsidR="0046122C">
        <w:rPr>
          <w:rFonts w:cstheme="minorHAnsi"/>
        </w:rPr>
        <w:t>04</w:t>
      </w:r>
      <w:r>
        <w:rPr>
          <w:rFonts w:cstheme="minorHAnsi"/>
        </w:rPr>
        <w:t>% u odnosu na godišnji plan za 202</w:t>
      </w:r>
      <w:r w:rsidR="0046122C">
        <w:rPr>
          <w:rFonts w:cstheme="minorHAnsi"/>
        </w:rPr>
        <w:t>4</w:t>
      </w:r>
      <w:r>
        <w:rPr>
          <w:rFonts w:cstheme="minorHAnsi"/>
        </w:rPr>
        <w:t>. godinu,</w:t>
      </w:r>
    </w:p>
    <w:p w14:paraId="09DE22FC" w14:textId="5177619D" w:rsidR="001C4242" w:rsidRDefault="00000000">
      <w:pPr>
        <w:ind w:firstLine="708"/>
        <w:jc w:val="both"/>
        <w:rPr>
          <w:rFonts w:cstheme="minorHAnsi"/>
        </w:rPr>
      </w:pPr>
      <w:r>
        <w:rPr>
          <w:rFonts w:cstheme="minorHAnsi"/>
        </w:rPr>
        <w:t xml:space="preserve">- postrojenja i oprema (422) u iznosu od </w:t>
      </w:r>
      <w:r w:rsidR="0046122C">
        <w:rPr>
          <w:rFonts w:cstheme="minorHAnsi"/>
        </w:rPr>
        <w:t>4</w:t>
      </w:r>
      <w:r>
        <w:rPr>
          <w:rFonts w:cstheme="minorHAnsi"/>
        </w:rPr>
        <w:t>.</w:t>
      </w:r>
      <w:r w:rsidR="0046122C">
        <w:rPr>
          <w:rFonts w:cstheme="minorHAnsi"/>
        </w:rPr>
        <w:t>641</w:t>
      </w:r>
      <w:r>
        <w:rPr>
          <w:rFonts w:cstheme="minorHAnsi"/>
        </w:rPr>
        <w:t>,</w:t>
      </w:r>
      <w:r w:rsidR="0006336A">
        <w:rPr>
          <w:rFonts w:cstheme="minorHAnsi"/>
        </w:rPr>
        <w:t>5</w:t>
      </w:r>
      <w:r w:rsidR="0046122C">
        <w:rPr>
          <w:rFonts w:cstheme="minorHAnsi"/>
        </w:rPr>
        <w:t>0</w:t>
      </w:r>
      <w:r>
        <w:rPr>
          <w:rFonts w:cstheme="minorHAnsi"/>
        </w:rPr>
        <w:t xml:space="preserve"> eura ili 7,</w:t>
      </w:r>
      <w:r w:rsidR="0046122C">
        <w:rPr>
          <w:rFonts w:cstheme="minorHAnsi"/>
        </w:rPr>
        <w:t>93</w:t>
      </w:r>
      <w:r>
        <w:rPr>
          <w:rFonts w:cstheme="minorHAnsi"/>
        </w:rPr>
        <w:t>% u odnosu na godišnji plan za 202</w:t>
      </w:r>
      <w:r w:rsidR="0046122C">
        <w:rPr>
          <w:rFonts w:cstheme="minorHAnsi"/>
        </w:rPr>
        <w:t>4</w:t>
      </w:r>
      <w:r>
        <w:rPr>
          <w:rFonts w:cstheme="minorHAnsi"/>
        </w:rPr>
        <w:t>. godinu,</w:t>
      </w:r>
    </w:p>
    <w:p w14:paraId="29F0CE67" w14:textId="4EE23EF8" w:rsidR="001C4242" w:rsidRDefault="00000000">
      <w:pPr>
        <w:ind w:firstLine="708"/>
        <w:jc w:val="both"/>
        <w:rPr>
          <w:rFonts w:cstheme="minorHAnsi"/>
        </w:rPr>
      </w:pPr>
      <w:r>
        <w:rPr>
          <w:rFonts w:cstheme="minorHAnsi"/>
        </w:rPr>
        <w:t xml:space="preserve">- nematerijalna proizvedena imovina (426) u iznosu od </w:t>
      </w:r>
      <w:r w:rsidR="0046122C">
        <w:rPr>
          <w:rFonts w:cstheme="minorHAnsi"/>
        </w:rPr>
        <w:t>8</w:t>
      </w:r>
      <w:r>
        <w:rPr>
          <w:rFonts w:cstheme="minorHAnsi"/>
        </w:rPr>
        <w:t>.</w:t>
      </w:r>
      <w:r w:rsidR="0046122C">
        <w:rPr>
          <w:rFonts w:cstheme="minorHAnsi"/>
        </w:rPr>
        <w:t>345</w:t>
      </w:r>
      <w:r>
        <w:rPr>
          <w:rFonts w:cstheme="minorHAnsi"/>
        </w:rPr>
        <w:t>,</w:t>
      </w:r>
      <w:r w:rsidR="0046122C">
        <w:rPr>
          <w:rFonts w:cstheme="minorHAnsi"/>
        </w:rPr>
        <w:t>36</w:t>
      </w:r>
      <w:r>
        <w:rPr>
          <w:rFonts w:cstheme="minorHAnsi"/>
        </w:rPr>
        <w:t xml:space="preserve"> eura ili </w:t>
      </w:r>
      <w:r w:rsidR="0046122C">
        <w:rPr>
          <w:rFonts w:cstheme="minorHAnsi"/>
        </w:rPr>
        <w:t>83</w:t>
      </w:r>
      <w:r>
        <w:rPr>
          <w:rFonts w:cstheme="minorHAnsi"/>
        </w:rPr>
        <w:t>,</w:t>
      </w:r>
      <w:r w:rsidR="0046122C">
        <w:rPr>
          <w:rFonts w:cstheme="minorHAnsi"/>
        </w:rPr>
        <w:t>45</w:t>
      </w:r>
      <w:r>
        <w:rPr>
          <w:rFonts w:cstheme="minorHAnsi"/>
        </w:rPr>
        <w:t>% u odnosu na godišnji plan za 202</w:t>
      </w:r>
      <w:r w:rsidR="0046122C">
        <w:rPr>
          <w:rFonts w:cstheme="minorHAnsi"/>
        </w:rPr>
        <w:t>4</w:t>
      </w:r>
      <w:r>
        <w:rPr>
          <w:rFonts w:cstheme="minorHAnsi"/>
        </w:rPr>
        <w:t>. godinu,</w:t>
      </w:r>
    </w:p>
    <w:p w14:paraId="162B0961" w14:textId="406E5BB9" w:rsidR="001C4242" w:rsidRDefault="00000000">
      <w:pPr>
        <w:ind w:firstLine="708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- dodatna ulaganja na građevinskim objektima (451) u iznosu od </w:t>
      </w:r>
      <w:r w:rsidR="0046122C">
        <w:rPr>
          <w:rFonts w:cstheme="minorHAnsi"/>
        </w:rPr>
        <w:t>3.125</w:t>
      </w:r>
      <w:r>
        <w:rPr>
          <w:rFonts w:cstheme="minorHAnsi"/>
        </w:rPr>
        <w:t>,00 eura ili 3,</w:t>
      </w:r>
      <w:r w:rsidR="0046122C">
        <w:rPr>
          <w:rFonts w:cstheme="minorHAnsi"/>
        </w:rPr>
        <w:t>13</w:t>
      </w:r>
      <w:r>
        <w:rPr>
          <w:rFonts w:cstheme="minorHAnsi"/>
        </w:rPr>
        <w:t>% u odnosu na godišnji plan za 202</w:t>
      </w:r>
      <w:r w:rsidR="0046122C">
        <w:rPr>
          <w:rFonts w:cstheme="minorHAnsi"/>
        </w:rPr>
        <w:t>4</w:t>
      </w:r>
      <w:r>
        <w:rPr>
          <w:rFonts w:cstheme="minorHAnsi"/>
        </w:rPr>
        <w:t>. godinu.</w:t>
      </w:r>
    </w:p>
    <w:p w14:paraId="0C139E6A" w14:textId="77777777" w:rsidR="001C4242" w:rsidRDefault="00000000">
      <w:pPr>
        <w:jc w:val="both"/>
        <w:rPr>
          <w:rFonts w:cstheme="minorHAnsi"/>
          <w:i/>
          <w:iCs/>
        </w:rPr>
      </w:pPr>
      <w:r>
        <w:rPr>
          <w:rFonts w:cstheme="minorHAnsi"/>
        </w:rPr>
        <w:t xml:space="preserve"> </w:t>
      </w:r>
      <w:r>
        <w:rPr>
          <w:rFonts w:cstheme="minorHAnsi"/>
          <w:i/>
          <w:iCs/>
        </w:rPr>
        <w:t>3.2. Obrazloženje posebnog dijela izvještaja o izvršenju proračuna.</w:t>
      </w:r>
    </w:p>
    <w:p w14:paraId="67B1099E" w14:textId="77777777" w:rsidR="001C4242" w:rsidRDefault="00000000">
      <w:pPr>
        <w:jc w:val="both"/>
        <w:rPr>
          <w:rFonts w:cstheme="minorHAnsi"/>
          <w:b/>
        </w:rPr>
      </w:pPr>
      <w:r>
        <w:rPr>
          <w:rFonts w:cstheme="minorHAnsi"/>
          <w:b/>
        </w:rPr>
        <w:tab/>
        <w:t>00101 – OPĆINSKO VIJEĆE</w:t>
      </w:r>
    </w:p>
    <w:p w14:paraId="0DCAECAF" w14:textId="77777777" w:rsidR="001C4242" w:rsidRDefault="00000000">
      <w:pPr>
        <w:jc w:val="both"/>
        <w:rPr>
          <w:rFonts w:cstheme="minorHAnsi"/>
          <w:b/>
        </w:rPr>
      </w:pPr>
      <w:r>
        <w:rPr>
          <w:rFonts w:cstheme="minorHAnsi"/>
          <w:b/>
        </w:rPr>
        <w:tab/>
        <w:t>PROGRAM 1001 JAVNA UPRAVA I ADMINISTRACIJA</w:t>
      </w:r>
    </w:p>
    <w:p w14:paraId="683B13D7" w14:textId="77777777" w:rsidR="0006336A" w:rsidRPr="0006336A" w:rsidRDefault="00000000" w:rsidP="0006336A">
      <w:pPr>
        <w:jc w:val="both"/>
        <w:rPr>
          <w:rFonts w:cstheme="minorHAnsi"/>
          <w:sz w:val="16"/>
          <w:szCs w:val="16"/>
        </w:rPr>
      </w:pPr>
      <w:r>
        <w:rPr>
          <w:rFonts w:cstheme="minorHAnsi"/>
        </w:rPr>
        <w:tab/>
        <w:t xml:space="preserve">U okviru gore navedenog programa evidentirani su rashodi za uredski materijal, usluge promidžbe i informiranja – objava akata u Službenom glasniku Međimurske županije,  naknade vijećnicima i redovno financiranje političkih stranaka. Planirana sredstva u iznosu od </w:t>
      </w:r>
      <w:r w:rsidR="007169D1">
        <w:rPr>
          <w:rFonts w:cstheme="minorHAnsi"/>
        </w:rPr>
        <w:t>7</w:t>
      </w:r>
      <w:r>
        <w:rPr>
          <w:rFonts w:cstheme="minorHAnsi"/>
        </w:rPr>
        <w:t>.</w:t>
      </w:r>
      <w:r w:rsidR="007169D1">
        <w:rPr>
          <w:rFonts w:cstheme="minorHAnsi"/>
        </w:rPr>
        <w:t>200</w:t>
      </w:r>
      <w:r>
        <w:rPr>
          <w:rFonts w:cstheme="minorHAnsi"/>
        </w:rPr>
        <w:t xml:space="preserve">,00 eura ostvarena su u iznosu od </w:t>
      </w:r>
      <w:r w:rsidR="007169D1">
        <w:rPr>
          <w:rFonts w:cstheme="minorHAnsi"/>
        </w:rPr>
        <w:t>2</w:t>
      </w:r>
      <w:r>
        <w:rPr>
          <w:rFonts w:cstheme="minorHAnsi"/>
        </w:rPr>
        <w:t>.</w:t>
      </w:r>
      <w:r w:rsidR="007169D1">
        <w:rPr>
          <w:rFonts w:cstheme="minorHAnsi"/>
        </w:rPr>
        <w:t>543</w:t>
      </w:r>
      <w:r>
        <w:rPr>
          <w:rFonts w:cstheme="minorHAnsi"/>
        </w:rPr>
        <w:t>,</w:t>
      </w:r>
      <w:r w:rsidR="007169D1">
        <w:rPr>
          <w:rFonts w:cstheme="minorHAnsi"/>
        </w:rPr>
        <w:t>86</w:t>
      </w:r>
      <w:r>
        <w:rPr>
          <w:rFonts w:cstheme="minorHAnsi"/>
        </w:rPr>
        <w:t xml:space="preserve"> eura ili </w:t>
      </w:r>
      <w:r w:rsidR="007169D1">
        <w:rPr>
          <w:rFonts w:cstheme="minorHAnsi"/>
        </w:rPr>
        <w:t>35</w:t>
      </w:r>
      <w:r>
        <w:rPr>
          <w:rFonts w:cstheme="minorHAnsi"/>
        </w:rPr>
        <w:t>,</w:t>
      </w:r>
      <w:r w:rsidR="007169D1">
        <w:rPr>
          <w:rFonts w:cstheme="minorHAnsi"/>
        </w:rPr>
        <w:t>33</w:t>
      </w:r>
      <w:r>
        <w:rPr>
          <w:rFonts w:cstheme="minorHAnsi"/>
        </w:rPr>
        <w:t xml:space="preserve">%.       </w:t>
      </w:r>
      <w:r>
        <w:rPr>
          <w:rFonts w:cstheme="minorHAnsi"/>
        </w:rPr>
        <w:tab/>
      </w:r>
    </w:p>
    <w:p w14:paraId="7A740C6C" w14:textId="56CF429B" w:rsidR="001C4242" w:rsidRDefault="00000000" w:rsidP="0006336A">
      <w:pPr>
        <w:ind w:firstLine="708"/>
        <w:jc w:val="both"/>
        <w:rPr>
          <w:rFonts w:cstheme="minorHAnsi"/>
          <w:b/>
        </w:rPr>
      </w:pPr>
      <w:r>
        <w:rPr>
          <w:rFonts w:cstheme="minorHAnsi"/>
        </w:rPr>
        <w:t xml:space="preserve">Cilj programa je omogućiti rad predstavničkog tijela kako bi se zadovoljile sve osnovne potrebe mještana na području jedinice lokalne samouprave. </w:t>
      </w:r>
      <w:r>
        <w:rPr>
          <w:rFonts w:cstheme="minorHAnsi"/>
          <w:b/>
        </w:rPr>
        <w:t xml:space="preserve"> </w:t>
      </w:r>
    </w:p>
    <w:p w14:paraId="510D8897" w14:textId="77777777" w:rsidR="001C4242" w:rsidRDefault="00000000">
      <w:pPr>
        <w:ind w:firstLine="708"/>
        <w:jc w:val="both"/>
        <w:rPr>
          <w:rFonts w:cstheme="minorHAnsi"/>
          <w:b/>
        </w:rPr>
      </w:pPr>
      <w:r>
        <w:rPr>
          <w:rFonts w:cstheme="minorHAnsi"/>
          <w:b/>
        </w:rPr>
        <w:t>00201 – JEDINSTVENI UPRAVNI ODJEL</w:t>
      </w:r>
    </w:p>
    <w:p w14:paraId="0F3DDE5A" w14:textId="77777777" w:rsidR="001C4242" w:rsidRDefault="00000000">
      <w:pPr>
        <w:ind w:firstLine="708"/>
        <w:jc w:val="both"/>
        <w:rPr>
          <w:rFonts w:cstheme="minorHAnsi"/>
          <w:b/>
        </w:rPr>
      </w:pPr>
      <w:r>
        <w:rPr>
          <w:rFonts w:cstheme="minorHAnsi"/>
          <w:b/>
        </w:rPr>
        <w:t>PROGRAM 1001 JAVNA UPRAVA I ADMINISTRACIJA</w:t>
      </w:r>
    </w:p>
    <w:p w14:paraId="5387DFD6" w14:textId="0BBFCA51" w:rsidR="001C4242" w:rsidRDefault="00000000">
      <w:pPr>
        <w:jc w:val="both"/>
        <w:rPr>
          <w:rFonts w:cstheme="minorHAnsi"/>
        </w:rPr>
      </w:pPr>
      <w:r>
        <w:rPr>
          <w:rFonts w:cstheme="minorHAnsi"/>
        </w:rPr>
        <w:tab/>
        <w:t>Program javna uprava i administracija obuhvaća rashode za zaposlene, materijalne i financijske rashode, kao i rashode za nabavu nefinancijske  imovine. Rashodi za zaposlene planirani su u iznosu od 1</w:t>
      </w:r>
      <w:r w:rsidR="007169D1">
        <w:rPr>
          <w:rFonts w:cstheme="minorHAnsi"/>
        </w:rPr>
        <w:t>37</w:t>
      </w:r>
      <w:r>
        <w:rPr>
          <w:rFonts w:cstheme="minorHAnsi"/>
        </w:rPr>
        <w:t>.</w:t>
      </w:r>
      <w:r w:rsidR="007169D1">
        <w:rPr>
          <w:rFonts w:cstheme="minorHAnsi"/>
        </w:rPr>
        <w:t>000</w:t>
      </w:r>
      <w:r>
        <w:rPr>
          <w:rFonts w:cstheme="minorHAnsi"/>
        </w:rPr>
        <w:t xml:space="preserve">,00 eura, a izvršeni u iznosu od </w:t>
      </w:r>
      <w:r w:rsidR="007169D1">
        <w:rPr>
          <w:rFonts w:cstheme="minorHAnsi"/>
        </w:rPr>
        <w:t>70</w:t>
      </w:r>
      <w:r>
        <w:rPr>
          <w:rFonts w:cstheme="minorHAnsi"/>
        </w:rPr>
        <w:t>.</w:t>
      </w:r>
      <w:r w:rsidR="007169D1">
        <w:rPr>
          <w:rFonts w:cstheme="minorHAnsi"/>
        </w:rPr>
        <w:t>444</w:t>
      </w:r>
      <w:r>
        <w:rPr>
          <w:rFonts w:cstheme="minorHAnsi"/>
        </w:rPr>
        <w:t>,</w:t>
      </w:r>
      <w:r w:rsidR="007169D1">
        <w:rPr>
          <w:rFonts w:cstheme="minorHAnsi"/>
        </w:rPr>
        <w:t>69</w:t>
      </w:r>
      <w:r>
        <w:rPr>
          <w:rFonts w:cstheme="minorHAnsi"/>
        </w:rPr>
        <w:t xml:space="preserve"> eura ili </w:t>
      </w:r>
      <w:r w:rsidR="007169D1">
        <w:rPr>
          <w:rFonts w:cstheme="minorHAnsi"/>
        </w:rPr>
        <w:t>51</w:t>
      </w:r>
      <w:r>
        <w:rPr>
          <w:rFonts w:cstheme="minorHAnsi"/>
        </w:rPr>
        <w:t>,</w:t>
      </w:r>
      <w:r w:rsidR="007169D1">
        <w:rPr>
          <w:rFonts w:cstheme="minorHAnsi"/>
        </w:rPr>
        <w:t>42</w:t>
      </w:r>
      <w:r>
        <w:rPr>
          <w:rFonts w:cstheme="minorHAnsi"/>
        </w:rPr>
        <w:t xml:space="preserve">%. Materijalni rashodi su planirani u iznosu od </w:t>
      </w:r>
      <w:r w:rsidR="007169D1">
        <w:rPr>
          <w:rFonts w:cstheme="minorHAnsi"/>
        </w:rPr>
        <w:t>120</w:t>
      </w:r>
      <w:r>
        <w:rPr>
          <w:rFonts w:cstheme="minorHAnsi"/>
        </w:rPr>
        <w:t>.</w:t>
      </w:r>
      <w:r w:rsidR="00D67563">
        <w:rPr>
          <w:rFonts w:cstheme="minorHAnsi"/>
        </w:rPr>
        <w:t>458</w:t>
      </w:r>
      <w:r>
        <w:rPr>
          <w:rFonts w:cstheme="minorHAnsi"/>
        </w:rPr>
        <w:t xml:space="preserve">,00 eura, a realizirani u iznosu od </w:t>
      </w:r>
      <w:r w:rsidR="00D67563">
        <w:rPr>
          <w:rFonts w:cstheme="minorHAnsi"/>
        </w:rPr>
        <w:t>69</w:t>
      </w:r>
      <w:r>
        <w:rPr>
          <w:rFonts w:cstheme="minorHAnsi"/>
        </w:rPr>
        <w:t>.</w:t>
      </w:r>
      <w:r w:rsidR="00D67563">
        <w:rPr>
          <w:rFonts w:cstheme="minorHAnsi"/>
        </w:rPr>
        <w:t>662</w:t>
      </w:r>
      <w:r>
        <w:rPr>
          <w:rFonts w:cstheme="minorHAnsi"/>
        </w:rPr>
        <w:t>,</w:t>
      </w:r>
      <w:r w:rsidR="00D67563">
        <w:rPr>
          <w:rFonts w:cstheme="minorHAnsi"/>
        </w:rPr>
        <w:t>08</w:t>
      </w:r>
      <w:r>
        <w:rPr>
          <w:rFonts w:cstheme="minorHAnsi"/>
        </w:rPr>
        <w:t xml:space="preserve"> eura, tj. na razini od </w:t>
      </w:r>
      <w:r w:rsidR="00D67563">
        <w:rPr>
          <w:rFonts w:cstheme="minorHAnsi"/>
        </w:rPr>
        <w:t>57</w:t>
      </w:r>
      <w:r>
        <w:rPr>
          <w:rFonts w:cstheme="minorHAnsi"/>
        </w:rPr>
        <w:t>,</w:t>
      </w:r>
      <w:r w:rsidR="00D67563">
        <w:rPr>
          <w:rFonts w:cstheme="minorHAnsi"/>
        </w:rPr>
        <w:t>83</w:t>
      </w:r>
      <w:r>
        <w:rPr>
          <w:rFonts w:cstheme="minorHAnsi"/>
        </w:rPr>
        <w:t xml:space="preserve">%. Financijski rashodi za izvještajno razdoblje iznose </w:t>
      </w:r>
      <w:r w:rsidR="00D67563">
        <w:rPr>
          <w:rFonts w:cstheme="minorHAnsi"/>
        </w:rPr>
        <w:t>617,30</w:t>
      </w:r>
      <w:r>
        <w:rPr>
          <w:rFonts w:cstheme="minorHAnsi"/>
        </w:rPr>
        <w:t xml:space="preserve"> eura, tj. realizirani su na razini </w:t>
      </w:r>
      <w:r w:rsidR="00D67563">
        <w:rPr>
          <w:rFonts w:cstheme="minorHAnsi"/>
        </w:rPr>
        <w:t>16</w:t>
      </w:r>
      <w:r>
        <w:rPr>
          <w:rFonts w:cstheme="minorHAnsi"/>
        </w:rPr>
        <w:t>,</w:t>
      </w:r>
      <w:r w:rsidR="00D67563">
        <w:rPr>
          <w:rFonts w:cstheme="minorHAnsi"/>
        </w:rPr>
        <w:t>24</w:t>
      </w:r>
      <w:r>
        <w:rPr>
          <w:rFonts w:cstheme="minorHAnsi"/>
        </w:rPr>
        <w:t xml:space="preserve">%. Rashodi za nabavu nefinancijske imovine su realizirani u iznosu od </w:t>
      </w:r>
      <w:r w:rsidR="00D67563">
        <w:rPr>
          <w:rFonts w:cstheme="minorHAnsi"/>
        </w:rPr>
        <w:t>7</w:t>
      </w:r>
      <w:r>
        <w:rPr>
          <w:rFonts w:cstheme="minorHAnsi"/>
        </w:rPr>
        <w:t>.</w:t>
      </w:r>
      <w:r w:rsidR="00D67563">
        <w:rPr>
          <w:rFonts w:cstheme="minorHAnsi"/>
        </w:rPr>
        <w:t>220</w:t>
      </w:r>
      <w:r>
        <w:rPr>
          <w:rFonts w:cstheme="minorHAnsi"/>
        </w:rPr>
        <w:t>,</w:t>
      </w:r>
      <w:r w:rsidR="00D67563">
        <w:rPr>
          <w:rFonts w:cstheme="minorHAnsi"/>
        </w:rPr>
        <w:t>36</w:t>
      </w:r>
      <w:r>
        <w:rPr>
          <w:rFonts w:cstheme="minorHAnsi"/>
        </w:rPr>
        <w:t xml:space="preserve"> eura</w:t>
      </w:r>
      <w:r w:rsidR="00D67563">
        <w:rPr>
          <w:rFonts w:cstheme="minorHAnsi"/>
        </w:rPr>
        <w:t xml:space="preserve"> ili 57,53%.</w:t>
      </w:r>
      <w:r>
        <w:rPr>
          <w:rFonts w:cstheme="minorHAnsi"/>
        </w:rPr>
        <w:t xml:space="preserve"> U sklopu aktivnosti zapošljavanja nezaposlenih osoba u javnom radu od planiranih </w:t>
      </w:r>
      <w:r w:rsidR="00D67563">
        <w:rPr>
          <w:rFonts w:cstheme="minorHAnsi"/>
        </w:rPr>
        <w:t>18</w:t>
      </w:r>
      <w:r>
        <w:rPr>
          <w:rFonts w:cstheme="minorHAnsi"/>
        </w:rPr>
        <w:t>.</w:t>
      </w:r>
      <w:r w:rsidR="00D67563">
        <w:rPr>
          <w:rFonts w:cstheme="minorHAnsi"/>
        </w:rPr>
        <w:t>200</w:t>
      </w:r>
      <w:r>
        <w:rPr>
          <w:rFonts w:cstheme="minorHAnsi"/>
        </w:rPr>
        <w:t xml:space="preserve">,00 eura utrošeno je </w:t>
      </w:r>
      <w:r w:rsidR="00D67563">
        <w:rPr>
          <w:rFonts w:cstheme="minorHAnsi"/>
        </w:rPr>
        <w:t>328,63</w:t>
      </w:r>
      <w:r>
        <w:rPr>
          <w:rFonts w:cstheme="minorHAnsi"/>
        </w:rPr>
        <w:t xml:space="preserve"> eura ili </w:t>
      </w:r>
      <w:r w:rsidR="00D67563">
        <w:rPr>
          <w:rFonts w:cstheme="minorHAnsi"/>
        </w:rPr>
        <w:t>1</w:t>
      </w:r>
      <w:r>
        <w:rPr>
          <w:rFonts w:cstheme="minorHAnsi"/>
        </w:rPr>
        <w:t>,</w:t>
      </w:r>
      <w:r w:rsidR="00B22412">
        <w:rPr>
          <w:rFonts w:cstheme="minorHAnsi"/>
        </w:rPr>
        <w:t>81</w:t>
      </w:r>
      <w:r>
        <w:rPr>
          <w:rFonts w:cstheme="minorHAnsi"/>
        </w:rPr>
        <w:t>%. Sredstva proračunske rezerve nisu korištena u prvoj polovici 202</w:t>
      </w:r>
      <w:r w:rsidR="00D67563">
        <w:rPr>
          <w:rFonts w:cstheme="minorHAnsi"/>
        </w:rPr>
        <w:t>4</w:t>
      </w:r>
      <w:r>
        <w:rPr>
          <w:rFonts w:cstheme="minorHAnsi"/>
        </w:rPr>
        <w:t xml:space="preserve">. godine. </w:t>
      </w:r>
    </w:p>
    <w:p w14:paraId="1EA2F6FA" w14:textId="1D94B331" w:rsidR="001C4242" w:rsidRDefault="00000000">
      <w:pPr>
        <w:jc w:val="both"/>
        <w:rPr>
          <w:rFonts w:cstheme="minorHAnsi"/>
        </w:rPr>
      </w:pPr>
      <w:r>
        <w:rPr>
          <w:rFonts w:cstheme="minorHAnsi"/>
        </w:rPr>
        <w:t xml:space="preserve">Cjelokupni program je planiran u iznosu od </w:t>
      </w:r>
      <w:r w:rsidR="0006336A">
        <w:rPr>
          <w:rFonts w:cstheme="minorHAnsi"/>
        </w:rPr>
        <w:t>307.008,00</w:t>
      </w:r>
      <w:r>
        <w:rPr>
          <w:rFonts w:cstheme="minorHAnsi"/>
        </w:rPr>
        <w:t xml:space="preserve"> eura, a izvršen u iznosu od </w:t>
      </w:r>
      <w:r w:rsidR="0006336A">
        <w:rPr>
          <w:rFonts w:cstheme="minorHAnsi"/>
        </w:rPr>
        <w:t>148.273,06</w:t>
      </w:r>
      <w:r>
        <w:rPr>
          <w:rFonts w:cstheme="minorHAnsi"/>
        </w:rPr>
        <w:t xml:space="preserve"> eura ili </w:t>
      </w:r>
      <w:r w:rsidR="0006336A">
        <w:rPr>
          <w:rFonts w:cstheme="minorHAnsi"/>
        </w:rPr>
        <w:t>48</w:t>
      </w:r>
      <w:r>
        <w:rPr>
          <w:rFonts w:cstheme="minorHAnsi"/>
        </w:rPr>
        <w:t>,</w:t>
      </w:r>
      <w:r w:rsidR="0006336A">
        <w:rPr>
          <w:rFonts w:cstheme="minorHAnsi"/>
        </w:rPr>
        <w:t>30</w:t>
      </w:r>
      <w:r>
        <w:rPr>
          <w:rFonts w:cstheme="minorHAnsi"/>
        </w:rPr>
        <w:t xml:space="preserve">%. </w:t>
      </w:r>
    </w:p>
    <w:p w14:paraId="6CE98D50" w14:textId="77777777" w:rsidR="001C4242" w:rsidRDefault="00000000">
      <w:pPr>
        <w:jc w:val="both"/>
        <w:rPr>
          <w:rFonts w:cstheme="minorHAnsi"/>
        </w:rPr>
      </w:pPr>
      <w:r>
        <w:rPr>
          <w:rFonts w:cstheme="minorHAnsi"/>
        </w:rPr>
        <w:tab/>
        <w:t>Cilj programa je osigurati nesmetano i kontinuirano funkcioniranje jedinice lokalne samouprave kako bi mogla obavljati sve potrebne zadatke u svom samoupravnom djelokrugu sukladno zakonu.</w:t>
      </w:r>
    </w:p>
    <w:p w14:paraId="56DF349E" w14:textId="77777777" w:rsidR="001C4242" w:rsidRDefault="00000000">
      <w:pPr>
        <w:ind w:firstLine="708"/>
        <w:jc w:val="both"/>
        <w:rPr>
          <w:rFonts w:cstheme="minorHAnsi"/>
          <w:b/>
        </w:rPr>
      </w:pPr>
      <w:r>
        <w:rPr>
          <w:rFonts w:cstheme="minorHAnsi"/>
          <w:b/>
        </w:rPr>
        <w:t>PROGRAM 1002  ODRŽAVANJE KOMUNALNE INFRASTRUKTURE</w:t>
      </w:r>
      <w:r>
        <w:rPr>
          <w:rFonts w:cstheme="minorHAnsi"/>
          <w:b/>
        </w:rPr>
        <w:tab/>
      </w:r>
    </w:p>
    <w:p w14:paraId="4BF2634B" w14:textId="29C7F211" w:rsidR="001C4242" w:rsidRDefault="00000000">
      <w:pPr>
        <w:jc w:val="both"/>
        <w:rPr>
          <w:rFonts w:cstheme="minorHAnsi"/>
        </w:rPr>
      </w:pPr>
      <w:r>
        <w:rPr>
          <w:rFonts w:cstheme="minorHAnsi"/>
          <w:b/>
        </w:rPr>
        <w:tab/>
      </w:r>
      <w:r>
        <w:rPr>
          <w:rFonts w:cstheme="minorHAnsi"/>
        </w:rPr>
        <w:t xml:space="preserve">Program 1002 sadrži rashode vezane za održavanje komunalne infrastrukture i rashode vezane za nabavu nefinancijske imovine. Sredstva za održavanje komunalne infrastrukture su planirana u iznosu od </w:t>
      </w:r>
      <w:r w:rsidR="00D67563">
        <w:rPr>
          <w:rFonts w:cstheme="minorHAnsi"/>
        </w:rPr>
        <w:t>684</w:t>
      </w:r>
      <w:r>
        <w:rPr>
          <w:rFonts w:cstheme="minorHAnsi"/>
        </w:rPr>
        <w:t>.</w:t>
      </w:r>
      <w:r w:rsidR="00D67563">
        <w:rPr>
          <w:rFonts w:cstheme="minorHAnsi"/>
        </w:rPr>
        <w:t>800</w:t>
      </w:r>
      <w:r>
        <w:rPr>
          <w:rFonts w:cstheme="minorHAnsi"/>
        </w:rPr>
        <w:t xml:space="preserve">,00 eura, a izvršena u iznosu od </w:t>
      </w:r>
      <w:r w:rsidR="00D67563">
        <w:rPr>
          <w:rFonts w:cstheme="minorHAnsi"/>
        </w:rPr>
        <w:t>283</w:t>
      </w:r>
      <w:r>
        <w:rPr>
          <w:rFonts w:cstheme="minorHAnsi"/>
        </w:rPr>
        <w:t>.</w:t>
      </w:r>
      <w:r w:rsidR="00D67563">
        <w:rPr>
          <w:rFonts w:cstheme="minorHAnsi"/>
        </w:rPr>
        <w:t>5</w:t>
      </w:r>
      <w:r w:rsidR="00025E75">
        <w:rPr>
          <w:rFonts w:cstheme="minorHAnsi"/>
        </w:rPr>
        <w:t>87</w:t>
      </w:r>
      <w:r>
        <w:rPr>
          <w:rFonts w:cstheme="minorHAnsi"/>
        </w:rPr>
        <w:t>,</w:t>
      </w:r>
      <w:r w:rsidR="00025E75">
        <w:rPr>
          <w:rFonts w:cstheme="minorHAnsi"/>
        </w:rPr>
        <w:t>93</w:t>
      </w:r>
      <w:r>
        <w:rPr>
          <w:rFonts w:cstheme="minorHAnsi"/>
        </w:rPr>
        <w:t xml:space="preserve"> eura ili </w:t>
      </w:r>
      <w:r w:rsidR="00D67563">
        <w:rPr>
          <w:rFonts w:cstheme="minorHAnsi"/>
        </w:rPr>
        <w:t>41</w:t>
      </w:r>
      <w:r>
        <w:rPr>
          <w:rFonts w:cstheme="minorHAnsi"/>
        </w:rPr>
        <w:t>,</w:t>
      </w:r>
      <w:r w:rsidR="00D67563">
        <w:rPr>
          <w:rFonts w:cstheme="minorHAnsi"/>
        </w:rPr>
        <w:t>41</w:t>
      </w:r>
      <w:r>
        <w:rPr>
          <w:rFonts w:cstheme="minorHAnsi"/>
        </w:rPr>
        <w:t xml:space="preserve">%. Najznačajniji rashodi su ostvareni za slijedeće: električna energija (utrošak el. energije – zgrade, javna rasvjeta, popravci)  </w:t>
      </w:r>
      <w:r w:rsidR="00D67563">
        <w:rPr>
          <w:rFonts w:cstheme="minorHAnsi"/>
        </w:rPr>
        <w:t>13</w:t>
      </w:r>
      <w:r>
        <w:rPr>
          <w:rFonts w:cstheme="minorHAnsi"/>
        </w:rPr>
        <w:t>.</w:t>
      </w:r>
      <w:r w:rsidR="00D67563">
        <w:rPr>
          <w:rFonts w:cstheme="minorHAnsi"/>
        </w:rPr>
        <w:t>3</w:t>
      </w:r>
      <w:r w:rsidR="00025E75">
        <w:rPr>
          <w:rFonts w:cstheme="minorHAnsi"/>
        </w:rPr>
        <w:t>19</w:t>
      </w:r>
      <w:r>
        <w:rPr>
          <w:rFonts w:cstheme="minorHAnsi"/>
        </w:rPr>
        <w:t>,</w:t>
      </w:r>
      <w:r w:rsidR="00025E75">
        <w:rPr>
          <w:rFonts w:cstheme="minorHAnsi"/>
        </w:rPr>
        <w:t>09</w:t>
      </w:r>
      <w:r>
        <w:rPr>
          <w:rFonts w:cstheme="minorHAnsi"/>
        </w:rPr>
        <w:t xml:space="preserve"> eura, </w:t>
      </w:r>
      <w:proofErr w:type="spellStart"/>
      <w:r>
        <w:rPr>
          <w:rFonts w:cstheme="minorHAnsi"/>
        </w:rPr>
        <w:t>šljunčanje</w:t>
      </w:r>
      <w:proofErr w:type="spellEnd"/>
      <w:r>
        <w:rPr>
          <w:rFonts w:cstheme="minorHAnsi"/>
        </w:rPr>
        <w:t xml:space="preserve"> </w:t>
      </w:r>
      <w:r w:rsidR="00CC7C72">
        <w:rPr>
          <w:rFonts w:cstheme="minorHAnsi"/>
        </w:rPr>
        <w:t>27</w:t>
      </w:r>
      <w:r>
        <w:rPr>
          <w:rFonts w:cstheme="minorHAnsi"/>
        </w:rPr>
        <w:t>.</w:t>
      </w:r>
      <w:r w:rsidR="00CC7C72">
        <w:rPr>
          <w:rFonts w:cstheme="minorHAnsi"/>
        </w:rPr>
        <w:t>600</w:t>
      </w:r>
      <w:r>
        <w:rPr>
          <w:rFonts w:cstheme="minorHAnsi"/>
        </w:rPr>
        <w:t>,</w:t>
      </w:r>
      <w:r w:rsidR="00CC7C72">
        <w:rPr>
          <w:rFonts w:cstheme="minorHAnsi"/>
        </w:rPr>
        <w:t>00</w:t>
      </w:r>
      <w:r>
        <w:rPr>
          <w:rFonts w:cstheme="minorHAnsi"/>
        </w:rPr>
        <w:t xml:space="preserve"> eura, zemljani radovi </w:t>
      </w:r>
      <w:r w:rsidR="00CC7C72">
        <w:rPr>
          <w:rFonts w:cstheme="minorHAnsi"/>
        </w:rPr>
        <w:t>48</w:t>
      </w:r>
      <w:r>
        <w:rPr>
          <w:rFonts w:cstheme="minorHAnsi"/>
        </w:rPr>
        <w:t>.</w:t>
      </w:r>
      <w:r w:rsidR="00CC7C72">
        <w:rPr>
          <w:rFonts w:cstheme="minorHAnsi"/>
        </w:rPr>
        <w:t>050</w:t>
      </w:r>
      <w:r>
        <w:rPr>
          <w:rFonts w:cstheme="minorHAnsi"/>
        </w:rPr>
        <w:t>,</w:t>
      </w:r>
      <w:r w:rsidR="00CC7C72">
        <w:rPr>
          <w:rFonts w:cstheme="minorHAnsi"/>
        </w:rPr>
        <w:t>00</w:t>
      </w:r>
      <w:r>
        <w:rPr>
          <w:rFonts w:cstheme="minorHAnsi"/>
        </w:rPr>
        <w:t xml:space="preserve"> eura,</w:t>
      </w:r>
      <w:r w:rsidR="0006336A">
        <w:rPr>
          <w:rFonts w:cstheme="minorHAnsi"/>
        </w:rPr>
        <w:t xml:space="preserve"> sanacija klizišta 51.364,54 eura,</w:t>
      </w:r>
      <w:r w:rsidR="00CC7C72">
        <w:rPr>
          <w:rFonts w:cstheme="minorHAnsi"/>
        </w:rPr>
        <w:t xml:space="preserve"> uređenje javnih površina (košnja) 22.67</w:t>
      </w:r>
      <w:r w:rsidR="00B22412">
        <w:rPr>
          <w:rFonts w:cstheme="minorHAnsi"/>
        </w:rPr>
        <w:t>5</w:t>
      </w:r>
      <w:r w:rsidR="00CC7C72">
        <w:rPr>
          <w:rFonts w:cstheme="minorHAnsi"/>
        </w:rPr>
        <w:t>,00 eura</w:t>
      </w:r>
      <w:r>
        <w:rPr>
          <w:rFonts w:cstheme="minorHAnsi"/>
        </w:rPr>
        <w:t xml:space="preserve"> i </w:t>
      </w:r>
      <w:r w:rsidR="00CC7C72">
        <w:rPr>
          <w:rFonts w:cstheme="minorHAnsi"/>
        </w:rPr>
        <w:t>uređenje zapuštenog zemljišta 19</w:t>
      </w:r>
      <w:r>
        <w:rPr>
          <w:rFonts w:cstheme="minorHAnsi"/>
        </w:rPr>
        <w:t>.</w:t>
      </w:r>
      <w:r w:rsidR="00CC7C72">
        <w:rPr>
          <w:rFonts w:cstheme="minorHAnsi"/>
        </w:rPr>
        <w:t>000</w:t>
      </w:r>
      <w:r>
        <w:rPr>
          <w:rFonts w:cstheme="minorHAnsi"/>
        </w:rPr>
        <w:t>,</w:t>
      </w:r>
      <w:r w:rsidR="00CC7C72">
        <w:rPr>
          <w:rFonts w:cstheme="minorHAnsi"/>
        </w:rPr>
        <w:t>00</w:t>
      </w:r>
      <w:r>
        <w:rPr>
          <w:rFonts w:cstheme="minorHAnsi"/>
        </w:rPr>
        <w:t xml:space="preserve"> eura.    </w:t>
      </w:r>
    </w:p>
    <w:p w14:paraId="2CD8228B" w14:textId="4D03431D" w:rsidR="001C4242" w:rsidRDefault="00000000">
      <w:pPr>
        <w:jc w:val="both"/>
        <w:rPr>
          <w:rFonts w:cstheme="minorHAnsi"/>
        </w:rPr>
      </w:pPr>
      <w:r>
        <w:rPr>
          <w:rFonts w:cstheme="minorHAnsi"/>
        </w:rPr>
        <w:lastRenderedPageBreak/>
        <w:tab/>
        <w:t xml:space="preserve">Za održavanje i izgradnju groblja od planiranih </w:t>
      </w:r>
      <w:r w:rsidR="00CC7C72">
        <w:rPr>
          <w:rFonts w:cstheme="minorHAnsi"/>
        </w:rPr>
        <w:t>29</w:t>
      </w:r>
      <w:r>
        <w:rPr>
          <w:rFonts w:cstheme="minorHAnsi"/>
        </w:rPr>
        <w:t>.</w:t>
      </w:r>
      <w:r w:rsidR="00CC7C72">
        <w:rPr>
          <w:rFonts w:cstheme="minorHAnsi"/>
        </w:rPr>
        <w:t>000</w:t>
      </w:r>
      <w:r>
        <w:rPr>
          <w:rFonts w:cstheme="minorHAnsi"/>
        </w:rPr>
        <w:t xml:space="preserve">,00 eura utrošeno je </w:t>
      </w:r>
      <w:r w:rsidR="00CC7C72">
        <w:rPr>
          <w:rFonts w:cstheme="minorHAnsi"/>
        </w:rPr>
        <w:t xml:space="preserve">1.677,40 </w:t>
      </w:r>
      <w:r>
        <w:rPr>
          <w:rFonts w:cstheme="minorHAnsi"/>
        </w:rPr>
        <w:t>eura</w:t>
      </w:r>
      <w:r w:rsidR="00CC7C72">
        <w:rPr>
          <w:rFonts w:cstheme="minorHAnsi"/>
        </w:rPr>
        <w:t xml:space="preserve"> ili 5,78%.</w:t>
      </w:r>
      <w:r>
        <w:rPr>
          <w:rFonts w:cstheme="minorHAnsi"/>
        </w:rPr>
        <w:t xml:space="preserve"> </w:t>
      </w:r>
      <w:r w:rsidR="00CC7C72">
        <w:rPr>
          <w:rFonts w:cstheme="minorHAnsi"/>
        </w:rPr>
        <w:t>Z</w:t>
      </w:r>
      <w:r>
        <w:rPr>
          <w:rFonts w:cstheme="minorHAnsi"/>
        </w:rPr>
        <w:t>a nabavu komunalne opreme i strojeva nije bilo rashoda, kao niti za kupnju zemljišta</w:t>
      </w:r>
      <w:r w:rsidR="00CC7C72">
        <w:rPr>
          <w:rFonts w:cstheme="minorHAnsi"/>
        </w:rPr>
        <w:t>.</w:t>
      </w:r>
      <w:r>
        <w:rPr>
          <w:rFonts w:cstheme="minorHAnsi"/>
        </w:rPr>
        <w:t xml:space="preserve">    </w:t>
      </w:r>
    </w:p>
    <w:p w14:paraId="7AB1F05B" w14:textId="77777777" w:rsidR="001C4242" w:rsidRDefault="00000000">
      <w:pPr>
        <w:jc w:val="both"/>
        <w:rPr>
          <w:rFonts w:cstheme="minorHAnsi"/>
        </w:rPr>
      </w:pPr>
      <w:r>
        <w:rPr>
          <w:rFonts w:cstheme="minorHAnsi"/>
        </w:rPr>
        <w:tab/>
        <w:t xml:space="preserve"> Cilj ovog programa je stvaranje infrastrukturnih preduvjeta za daljnji održivi razvoj. Pokazatelji rezultata su: povećanje izgrađenosti komunalne infrastrukture.</w:t>
      </w:r>
    </w:p>
    <w:p w14:paraId="175EC64D" w14:textId="77777777" w:rsidR="001C4242" w:rsidRDefault="00000000">
      <w:pPr>
        <w:jc w:val="both"/>
        <w:rPr>
          <w:rFonts w:cstheme="minorHAnsi"/>
          <w:b/>
        </w:rPr>
      </w:pPr>
      <w:r>
        <w:rPr>
          <w:rFonts w:cstheme="minorHAnsi"/>
        </w:rPr>
        <w:t xml:space="preserve">  </w:t>
      </w:r>
      <w:r>
        <w:rPr>
          <w:rFonts w:cstheme="minorHAnsi"/>
        </w:rPr>
        <w:tab/>
      </w:r>
      <w:r>
        <w:rPr>
          <w:rFonts w:cstheme="minorHAnsi"/>
          <w:b/>
        </w:rPr>
        <w:t>PROGRAM 1003 RAZVOJ I SIGURNOST PROMETA</w:t>
      </w:r>
    </w:p>
    <w:p w14:paraId="4D4D3D72" w14:textId="14A81C22" w:rsidR="002523DE" w:rsidRDefault="00000000">
      <w:pPr>
        <w:jc w:val="both"/>
        <w:rPr>
          <w:rFonts w:cstheme="minorHAnsi"/>
        </w:rPr>
      </w:pPr>
      <w:r>
        <w:rPr>
          <w:rFonts w:cstheme="minorHAnsi"/>
          <w:b/>
        </w:rPr>
        <w:tab/>
      </w:r>
      <w:r>
        <w:rPr>
          <w:rFonts w:cstheme="minorHAnsi"/>
        </w:rPr>
        <w:t xml:space="preserve">Program 1003 planiran je u iznosu od </w:t>
      </w:r>
      <w:r w:rsidR="00CC7C72">
        <w:rPr>
          <w:rFonts w:cstheme="minorHAnsi"/>
        </w:rPr>
        <w:t>754</w:t>
      </w:r>
      <w:r>
        <w:rPr>
          <w:rFonts w:cstheme="minorHAnsi"/>
        </w:rPr>
        <w:t>.</w:t>
      </w:r>
      <w:r w:rsidR="00CC7C72">
        <w:rPr>
          <w:rFonts w:cstheme="minorHAnsi"/>
        </w:rPr>
        <w:t>000</w:t>
      </w:r>
      <w:r>
        <w:rPr>
          <w:rFonts w:cstheme="minorHAnsi"/>
        </w:rPr>
        <w:t xml:space="preserve">,00 eura. U sklopu navedenog programa </w:t>
      </w:r>
      <w:r w:rsidR="00CC7C72">
        <w:rPr>
          <w:rFonts w:cstheme="minorHAnsi"/>
        </w:rPr>
        <w:t xml:space="preserve">je </w:t>
      </w:r>
      <w:r w:rsidR="002523DE">
        <w:rPr>
          <w:rFonts w:cstheme="minorHAnsi"/>
        </w:rPr>
        <w:t xml:space="preserve">temeljem Sporazuma sa Županijskom upravom za ceste </w:t>
      </w:r>
      <w:r w:rsidR="00CC7C72">
        <w:rPr>
          <w:rFonts w:cstheme="minorHAnsi"/>
        </w:rPr>
        <w:t xml:space="preserve">izvršen rashod </w:t>
      </w:r>
      <w:r w:rsidR="00357B1A">
        <w:rPr>
          <w:rFonts w:cstheme="minorHAnsi"/>
        </w:rPr>
        <w:t xml:space="preserve">za rekonstrukciju LC 20080 i izgradnju pješačko-biciklističke staze Ž. Gora – Toplice Sv. Martin </w:t>
      </w:r>
      <w:r w:rsidR="00FF5EFE">
        <w:rPr>
          <w:rFonts w:cstheme="minorHAnsi"/>
        </w:rPr>
        <w:t xml:space="preserve"> </w:t>
      </w:r>
      <w:r w:rsidR="00357B1A">
        <w:rPr>
          <w:rFonts w:cstheme="minorHAnsi"/>
        </w:rPr>
        <w:t xml:space="preserve">u iznosu </w:t>
      </w:r>
      <w:r w:rsidR="002523DE">
        <w:rPr>
          <w:rFonts w:cstheme="minorHAnsi"/>
        </w:rPr>
        <w:t xml:space="preserve">od </w:t>
      </w:r>
      <w:r w:rsidR="00357B1A">
        <w:rPr>
          <w:rFonts w:cstheme="minorHAnsi"/>
        </w:rPr>
        <w:t>84.889,93 eura</w:t>
      </w:r>
      <w:r w:rsidR="002523DE">
        <w:rPr>
          <w:rFonts w:cstheme="minorHAnsi"/>
        </w:rPr>
        <w:t>. Za modernizacija nerazvrstanih cesta je od planiranih 640.000,00 eura utrošeno 239.413,60 eura ili 37,41%</w:t>
      </w:r>
      <w:r w:rsidR="005052A5">
        <w:rPr>
          <w:rFonts w:cstheme="minorHAnsi"/>
        </w:rPr>
        <w:t xml:space="preserve"> od čega je za izgradnju prometnice NC 2020 – </w:t>
      </w:r>
      <w:proofErr w:type="spellStart"/>
      <w:r w:rsidR="005052A5">
        <w:rPr>
          <w:rFonts w:cstheme="minorHAnsi"/>
        </w:rPr>
        <w:t>Slatjak</w:t>
      </w:r>
      <w:proofErr w:type="spellEnd"/>
      <w:r w:rsidR="005052A5">
        <w:rPr>
          <w:rFonts w:cstheme="minorHAnsi"/>
        </w:rPr>
        <w:t xml:space="preserve"> utrošeno 229.338,60 eura, za projektiranje NC 2040 – </w:t>
      </w:r>
      <w:proofErr w:type="spellStart"/>
      <w:r w:rsidR="005052A5">
        <w:rPr>
          <w:rFonts w:cstheme="minorHAnsi"/>
        </w:rPr>
        <w:t>Arnuš</w:t>
      </w:r>
      <w:proofErr w:type="spellEnd"/>
      <w:r w:rsidR="005052A5">
        <w:rPr>
          <w:rFonts w:cstheme="minorHAnsi"/>
        </w:rPr>
        <w:t xml:space="preserve"> 4.450,00 eura i za izradu geodetskih elaborata izvedenog stanja nerazvrstanih cesta 5.625,00 eura. </w:t>
      </w:r>
      <w:r w:rsidR="006A1481">
        <w:rPr>
          <w:rFonts w:cstheme="minorHAnsi"/>
        </w:rPr>
        <w:t xml:space="preserve">U okviru projekta izgradnje javne rasvjete </w:t>
      </w:r>
      <w:r w:rsidR="00BC51C5">
        <w:rPr>
          <w:rFonts w:cstheme="minorHAnsi"/>
        </w:rPr>
        <w:t>utrošeno je 4.778,81 eura.</w:t>
      </w:r>
      <w:r w:rsidR="006A1481">
        <w:rPr>
          <w:rFonts w:cstheme="minorHAnsi"/>
        </w:rPr>
        <w:t xml:space="preserve">  </w:t>
      </w:r>
      <w:r w:rsidR="005052A5">
        <w:rPr>
          <w:rFonts w:cstheme="minorHAnsi"/>
        </w:rPr>
        <w:t xml:space="preserve">   </w:t>
      </w:r>
      <w:r w:rsidR="002523DE">
        <w:rPr>
          <w:rFonts w:cstheme="minorHAnsi"/>
        </w:rPr>
        <w:t xml:space="preserve">    </w:t>
      </w:r>
    </w:p>
    <w:p w14:paraId="19AE1423" w14:textId="50CC6BB7" w:rsidR="001C4242" w:rsidRDefault="00000000">
      <w:pPr>
        <w:jc w:val="both"/>
        <w:rPr>
          <w:rFonts w:cstheme="minorHAnsi"/>
          <w:b/>
          <w:bCs/>
        </w:rPr>
      </w:pPr>
      <w:r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  <w:b/>
          <w:bCs/>
        </w:rPr>
        <w:t>PROGRAM 1005 RAZVOJ I UPRAVLJANJE SUSTAVA VODOOPSKRBE, ODVODNJE I ZAŠTITE VODA</w:t>
      </w:r>
    </w:p>
    <w:p w14:paraId="4647549D" w14:textId="088E98A5" w:rsidR="001C4242" w:rsidRDefault="00000000">
      <w:pPr>
        <w:ind w:firstLine="708"/>
        <w:jc w:val="both"/>
        <w:rPr>
          <w:rFonts w:cstheme="minorHAnsi"/>
        </w:rPr>
      </w:pPr>
      <w:r>
        <w:rPr>
          <w:rFonts w:cstheme="minorHAnsi"/>
        </w:rPr>
        <w:t xml:space="preserve">U okviru navedenog programa je izvršen rashod </w:t>
      </w:r>
      <w:r w:rsidR="00326F19">
        <w:rPr>
          <w:rFonts w:cstheme="minorHAnsi"/>
        </w:rPr>
        <w:t xml:space="preserve">za izgradnju vodovoda - </w:t>
      </w:r>
      <w:r>
        <w:rPr>
          <w:rFonts w:cstheme="minorHAnsi"/>
        </w:rPr>
        <w:t xml:space="preserve"> produžetak vodovodne mreže u Štrigovi</w:t>
      </w:r>
      <w:r w:rsidR="00326F19">
        <w:rPr>
          <w:rFonts w:cstheme="minorHAnsi"/>
        </w:rPr>
        <w:t xml:space="preserve">, tj. od </w:t>
      </w:r>
      <w:r>
        <w:rPr>
          <w:rFonts w:cstheme="minorHAnsi"/>
        </w:rPr>
        <w:t xml:space="preserve">planiranih </w:t>
      </w:r>
      <w:r w:rsidR="00BC51C5">
        <w:rPr>
          <w:rFonts w:cstheme="minorHAnsi"/>
        </w:rPr>
        <w:t xml:space="preserve">57.000,00 </w:t>
      </w:r>
      <w:r>
        <w:rPr>
          <w:rFonts w:cstheme="minorHAnsi"/>
        </w:rPr>
        <w:t xml:space="preserve">eura utrošeno je </w:t>
      </w:r>
      <w:r w:rsidR="00326F19">
        <w:rPr>
          <w:rFonts w:cstheme="minorHAnsi"/>
        </w:rPr>
        <w:t>5</w:t>
      </w:r>
      <w:r>
        <w:rPr>
          <w:rFonts w:cstheme="minorHAnsi"/>
        </w:rPr>
        <w:t>.</w:t>
      </w:r>
      <w:r w:rsidR="00326F19">
        <w:rPr>
          <w:rFonts w:cstheme="minorHAnsi"/>
        </w:rPr>
        <w:t>081</w:t>
      </w:r>
      <w:r>
        <w:rPr>
          <w:rFonts w:cstheme="minorHAnsi"/>
        </w:rPr>
        <w:t>,</w:t>
      </w:r>
      <w:r w:rsidR="00326F19">
        <w:rPr>
          <w:rFonts w:cstheme="minorHAnsi"/>
        </w:rPr>
        <w:t>04</w:t>
      </w:r>
      <w:r>
        <w:rPr>
          <w:rFonts w:cstheme="minorHAnsi"/>
        </w:rPr>
        <w:t xml:space="preserve"> eura</w:t>
      </w:r>
      <w:r w:rsidR="00326F19">
        <w:rPr>
          <w:rFonts w:cstheme="minorHAnsi"/>
        </w:rPr>
        <w:t xml:space="preserve">. U izvještajnom razdoblju nije bilo rashoda za izgradnju kanalizacije.  </w:t>
      </w:r>
    </w:p>
    <w:p w14:paraId="3985D2F8" w14:textId="77777777" w:rsidR="001C4242" w:rsidRDefault="00000000">
      <w:pPr>
        <w:ind w:firstLine="708"/>
        <w:jc w:val="both"/>
        <w:rPr>
          <w:rFonts w:cstheme="minorHAnsi"/>
        </w:rPr>
      </w:pPr>
      <w:r>
        <w:rPr>
          <w:rFonts w:cstheme="minorHAnsi"/>
        </w:rPr>
        <w:t xml:space="preserve">Cilj programa je omogućiti mještanima opskrbu pitkom vodom izgradnjom vodovodne mreže. Pokazatelji rezultata su: povećanje izgrađenosti vodovodne mreže. </w:t>
      </w:r>
    </w:p>
    <w:p w14:paraId="5DFB35F4" w14:textId="77777777" w:rsidR="001C4242" w:rsidRDefault="00000000">
      <w:pPr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  <w:t>PROGRAM 1006 PROMICANJE KULTURE</w:t>
      </w:r>
      <w:r>
        <w:rPr>
          <w:rFonts w:cstheme="minorHAnsi"/>
        </w:rPr>
        <w:t xml:space="preserve"> </w:t>
      </w:r>
    </w:p>
    <w:p w14:paraId="0951C4E2" w14:textId="3B754D67" w:rsidR="001C4242" w:rsidRDefault="00000000">
      <w:pPr>
        <w:jc w:val="both"/>
        <w:rPr>
          <w:rFonts w:cstheme="minorHAnsi"/>
        </w:rPr>
      </w:pPr>
      <w:r>
        <w:rPr>
          <w:rFonts w:cstheme="minorHAnsi"/>
        </w:rPr>
        <w:tab/>
        <w:t xml:space="preserve">U sklopu navedenog izvršen je rashod za djelovanje udruga u iznosu od </w:t>
      </w:r>
      <w:r w:rsidR="000F0B6D">
        <w:rPr>
          <w:rFonts w:cstheme="minorHAnsi"/>
        </w:rPr>
        <w:t>7.</w:t>
      </w:r>
      <w:r w:rsidR="0006336A">
        <w:rPr>
          <w:rFonts w:cstheme="minorHAnsi"/>
        </w:rPr>
        <w:t>1</w:t>
      </w:r>
      <w:r>
        <w:rPr>
          <w:rFonts w:cstheme="minorHAnsi"/>
        </w:rPr>
        <w:t>00,00 eura (</w:t>
      </w:r>
      <w:r w:rsidR="000F0B6D">
        <w:rPr>
          <w:rFonts w:cstheme="minorHAnsi"/>
        </w:rPr>
        <w:t xml:space="preserve">Udruga žena </w:t>
      </w:r>
      <w:proofErr w:type="spellStart"/>
      <w:r w:rsidR="000F0B6D">
        <w:rPr>
          <w:rFonts w:cstheme="minorHAnsi"/>
        </w:rPr>
        <w:t>Stanetinec</w:t>
      </w:r>
      <w:proofErr w:type="spellEnd"/>
      <w:r w:rsidR="000F0B6D">
        <w:rPr>
          <w:rFonts w:cstheme="minorHAnsi"/>
        </w:rPr>
        <w:t xml:space="preserve"> 1.600,00 eura, Ogranak Matice hrvatske u Čakovcu 1.500,00 eura i ŽVS </w:t>
      </w:r>
      <w:proofErr w:type="spellStart"/>
      <w:r w:rsidR="000F0B6D">
        <w:rPr>
          <w:rFonts w:cstheme="minorHAnsi"/>
        </w:rPr>
        <w:t>Stridonne</w:t>
      </w:r>
      <w:proofErr w:type="spellEnd"/>
      <w:r w:rsidR="000F0B6D">
        <w:rPr>
          <w:rFonts w:cstheme="minorHAnsi"/>
        </w:rPr>
        <w:t xml:space="preserve"> 4.000,00 eura</w:t>
      </w:r>
      <w:r>
        <w:rPr>
          <w:rFonts w:cstheme="minorHAnsi"/>
        </w:rPr>
        <w:t xml:space="preserve">), </w:t>
      </w:r>
      <w:r w:rsidR="003C7762">
        <w:rPr>
          <w:rFonts w:cstheme="minorHAnsi"/>
        </w:rPr>
        <w:t xml:space="preserve">za donacije vjerskim zajednicama (Župa Štrigova) 4.600,00 eura i </w:t>
      </w:r>
      <w:r>
        <w:rPr>
          <w:rFonts w:cstheme="minorHAnsi"/>
        </w:rPr>
        <w:t xml:space="preserve">za Festival keramike </w:t>
      </w:r>
      <w:r w:rsidR="00BF5FCE">
        <w:rPr>
          <w:rFonts w:cstheme="minorHAnsi"/>
        </w:rPr>
        <w:t>1.280,90</w:t>
      </w:r>
      <w:r>
        <w:rPr>
          <w:rFonts w:cstheme="minorHAnsi"/>
        </w:rPr>
        <w:t xml:space="preserve"> eura. Program je ostvaren u iznosu od </w:t>
      </w:r>
      <w:r w:rsidR="000F0B6D">
        <w:rPr>
          <w:rFonts w:cstheme="minorHAnsi"/>
        </w:rPr>
        <w:t>12.980</w:t>
      </w:r>
      <w:r w:rsidR="003C7762">
        <w:rPr>
          <w:rFonts w:cstheme="minorHAnsi"/>
        </w:rPr>
        <w:t xml:space="preserve">,90 </w:t>
      </w:r>
      <w:r>
        <w:rPr>
          <w:rFonts w:cstheme="minorHAnsi"/>
        </w:rPr>
        <w:t xml:space="preserve">eura, tj. na razini od </w:t>
      </w:r>
      <w:r w:rsidR="000F0B6D">
        <w:rPr>
          <w:rFonts w:cstheme="minorHAnsi"/>
        </w:rPr>
        <w:t>44</w:t>
      </w:r>
      <w:r>
        <w:rPr>
          <w:rFonts w:cstheme="minorHAnsi"/>
        </w:rPr>
        <w:t>,</w:t>
      </w:r>
      <w:r w:rsidR="000F0B6D">
        <w:rPr>
          <w:rFonts w:cstheme="minorHAnsi"/>
        </w:rPr>
        <w:t>76</w:t>
      </w:r>
      <w:r>
        <w:rPr>
          <w:rFonts w:cstheme="minorHAnsi"/>
        </w:rPr>
        <w:t xml:space="preserve">%.          </w:t>
      </w:r>
    </w:p>
    <w:p w14:paraId="20FAD384" w14:textId="77777777" w:rsidR="001C4242" w:rsidRDefault="00000000">
      <w:pPr>
        <w:jc w:val="both"/>
        <w:rPr>
          <w:rFonts w:cstheme="minorHAnsi"/>
        </w:rPr>
      </w:pPr>
      <w:r>
        <w:rPr>
          <w:rFonts w:cstheme="minorHAnsi"/>
        </w:rPr>
        <w:tab/>
        <w:t xml:space="preserve">Cilj programa je poticanje razvoja kulture, očuvanje kulturne baštine na području Općine i šire. Pokazatelj rezultata je sve veći broj kulturnih manifestacija. </w:t>
      </w:r>
    </w:p>
    <w:p w14:paraId="51913862" w14:textId="77777777" w:rsidR="001C4242" w:rsidRDefault="00000000">
      <w:pPr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  <w:b/>
          <w:bCs/>
        </w:rPr>
        <w:t>PROGRAM 1007 RAZVOJ SPORTA I REKREACIJE</w:t>
      </w:r>
    </w:p>
    <w:p w14:paraId="4B2CE1BD" w14:textId="5EF29828" w:rsidR="001C4242" w:rsidRPr="00BF5FCE" w:rsidRDefault="00000000">
      <w:pPr>
        <w:jc w:val="both"/>
        <w:rPr>
          <w:rFonts w:ascii="Calibri" w:hAnsi="Calibri" w:cs="Calibri"/>
        </w:rPr>
      </w:pPr>
      <w:r>
        <w:rPr>
          <w:rFonts w:cstheme="minorHAnsi"/>
        </w:rPr>
        <w:tab/>
        <w:t>U okviru navedenog programa planirana su sredstva u iznosu od 3</w:t>
      </w:r>
      <w:r w:rsidR="001875BD">
        <w:rPr>
          <w:rFonts w:cstheme="minorHAnsi"/>
        </w:rPr>
        <w:t>4</w:t>
      </w:r>
      <w:r>
        <w:rPr>
          <w:rFonts w:cstheme="minorHAnsi"/>
        </w:rPr>
        <w:t xml:space="preserve">.000,00 eura, a utrošena  u iznosu od </w:t>
      </w:r>
      <w:r w:rsidR="001875BD">
        <w:rPr>
          <w:rFonts w:cstheme="minorHAnsi"/>
        </w:rPr>
        <w:t>2</w:t>
      </w:r>
      <w:r w:rsidR="00692B95">
        <w:rPr>
          <w:rFonts w:cstheme="minorHAnsi"/>
        </w:rPr>
        <w:t>4</w:t>
      </w:r>
      <w:r>
        <w:rPr>
          <w:rFonts w:cstheme="minorHAnsi"/>
        </w:rPr>
        <w:t>.</w:t>
      </w:r>
      <w:r w:rsidR="00692B95">
        <w:rPr>
          <w:rFonts w:cstheme="minorHAnsi"/>
        </w:rPr>
        <w:t>60</w:t>
      </w:r>
      <w:r>
        <w:rPr>
          <w:rFonts w:cstheme="minorHAnsi"/>
        </w:rPr>
        <w:t xml:space="preserve">0,00 kn, tj. na razini od </w:t>
      </w:r>
      <w:r w:rsidR="000F0B6D">
        <w:rPr>
          <w:rFonts w:cstheme="minorHAnsi"/>
        </w:rPr>
        <w:t>72</w:t>
      </w:r>
      <w:r>
        <w:rPr>
          <w:rFonts w:cstheme="minorHAnsi"/>
        </w:rPr>
        <w:t>,</w:t>
      </w:r>
      <w:r w:rsidR="000F0B6D">
        <w:rPr>
          <w:rFonts w:cstheme="minorHAnsi"/>
        </w:rPr>
        <w:t>35</w:t>
      </w:r>
      <w:r>
        <w:rPr>
          <w:rFonts w:cstheme="minorHAnsi"/>
        </w:rPr>
        <w:t>%. Izvršene su isplate slijedećim klubovima: NK Plavi Prekopa 2.</w:t>
      </w:r>
      <w:r w:rsidR="00914ECF">
        <w:rPr>
          <w:rFonts w:cstheme="minorHAnsi"/>
        </w:rPr>
        <w:t>5</w:t>
      </w:r>
      <w:r>
        <w:rPr>
          <w:rFonts w:cstheme="minorHAnsi"/>
        </w:rPr>
        <w:t>00,00 eura,</w:t>
      </w:r>
      <w:r w:rsidR="002F5A9A">
        <w:rPr>
          <w:rFonts w:cstheme="minorHAnsi"/>
        </w:rPr>
        <w:t xml:space="preserve"> Odbojkaški klub </w:t>
      </w:r>
      <w:r w:rsidR="00692B95">
        <w:rPr>
          <w:rFonts w:cstheme="minorHAnsi"/>
        </w:rPr>
        <w:t xml:space="preserve">Štrigova </w:t>
      </w:r>
      <w:r w:rsidR="002F5A9A">
        <w:rPr>
          <w:rFonts w:cstheme="minorHAnsi"/>
        </w:rPr>
        <w:t xml:space="preserve">5.400,00 eura, </w:t>
      </w:r>
      <w:r>
        <w:rPr>
          <w:rFonts w:cstheme="minorHAnsi"/>
        </w:rPr>
        <w:t xml:space="preserve"> Atletski klub Međimurje Čakovec </w:t>
      </w:r>
      <w:r w:rsidR="002F5A9A">
        <w:rPr>
          <w:rFonts w:cstheme="minorHAnsi"/>
        </w:rPr>
        <w:t>5</w:t>
      </w:r>
      <w:r>
        <w:rPr>
          <w:rFonts w:cstheme="minorHAnsi"/>
        </w:rPr>
        <w:t>00,00 eura</w:t>
      </w:r>
      <w:r w:rsidR="002F5A9A">
        <w:rPr>
          <w:rFonts w:cstheme="minorHAnsi"/>
        </w:rPr>
        <w:t>,</w:t>
      </w:r>
      <w:r w:rsidR="002F5A9A" w:rsidRPr="002F5A9A">
        <w:rPr>
          <w:rFonts w:ascii="Arial" w:hAnsi="Arial" w:cs="Arial"/>
          <w:b/>
          <w:bCs/>
          <w:color w:val="5F6368"/>
          <w:shd w:val="clear" w:color="auto" w:fill="FFFFFF"/>
        </w:rPr>
        <w:t xml:space="preserve"> </w:t>
      </w:r>
      <w:r w:rsidR="002F5A9A" w:rsidRPr="00BF5FCE">
        <w:rPr>
          <w:rFonts w:ascii="Calibri" w:hAnsi="Calibri" w:cs="Calibri"/>
          <w:color w:val="5F6368"/>
          <w:shd w:val="clear" w:color="auto" w:fill="FFFFFF"/>
        </w:rPr>
        <w:t xml:space="preserve">Autoklub </w:t>
      </w:r>
      <w:proofErr w:type="spellStart"/>
      <w:r w:rsidR="002F5A9A" w:rsidRPr="00BF5FCE">
        <w:rPr>
          <w:rFonts w:ascii="Calibri" w:hAnsi="Calibri" w:cs="Calibri"/>
          <w:color w:val="5F6368"/>
          <w:shd w:val="clear" w:color="auto" w:fill="FFFFFF"/>
        </w:rPr>
        <w:t>Black</w:t>
      </w:r>
      <w:r w:rsidR="00692B95" w:rsidRPr="00BF5FCE">
        <w:rPr>
          <w:rFonts w:ascii="Calibri" w:hAnsi="Calibri" w:cs="Calibri"/>
          <w:color w:val="5F6368"/>
          <w:shd w:val="clear" w:color="auto" w:fill="FFFFFF"/>
        </w:rPr>
        <w:t>l</w:t>
      </w:r>
      <w:r w:rsidR="002F5A9A" w:rsidRPr="00BF5FCE">
        <w:rPr>
          <w:rFonts w:ascii="Calibri" w:hAnsi="Calibri" w:cs="Calibri"/>
          <w:color w:val="5F6368"/>
          <w:shd w:val="clear" w:color="auto" w:fill="FFFFFF"/>
        </w:rPr>
        <w:t>isted</w:t>
      </w:r>
      <w:proofErr w:type="spellEnd"/>
      <w:r w:rsidR="00692B95" w:rsidRPr="00BF5FCE">
        <w:rPr>
          <w:rFonts w:ascii="Calibri" w:hAnsi="Calibri" w:cs="Calibri"/>
          <w:color w:val="5F6368"/>
          <w:shd w:val="clear" w:color="auto" w:fill="FFFFFF"/>
        </w:rPr>
        <w:t xml:space="preserve"> 1.500,00 eura, </w:t>
      </w:r>
      <w:r w:rsidRPr="00BF5FCE">
        <w:rPr>
          <w:rFonts w:ascii="Calibri" w:hAnsi="Calibri" w:cs="Calibri"/>
        </w:rPr>
        <w:t xml:space="preserve">NK Sloga Štrigova </w:t>
      </w:r>
      <w:r w:rsidR="00692B95" w:rsidRPr="00BF5FCE">
        <w:rPr>
          <w:rFonts w:ascii="Calibri" w:hAnsi="Calibri" w:cs="Calibri"/>
        </w:rPr>
        <w:t>12</w:t>
      </w:r>
      <w:r w:rsidRPr="00BF5FCE">
        <w:rPr>
          <w:rFonts w:ascii="Calibri" w:hAnsi="Calibri" w:cs="Calibri"/>
        </w:rPr>
        <w:t>.</w:t>
      </w:r>
      <w:r w:rsidR="00692B95" w:rsidRPr="00BF5FCE">
        <w:rPr>
          <w:rFonts w:ascii="Calibri" w:hAnsi="Calibri" w:cs="Calibri"/>
        </w:rPr>
        <w:t>0</w:t>
      </w:r>
      <w:r w:rsidRPr="00BF5FCE">
        <w:rPr>
          <w:rFonts w:ascii="Calibri" w:hAnsi="Calibri" w:cs="Calibri"/>
        </w:rPr>
        <w:t>00,00 eura</w:t>
      </w:r>
      <w:r w:rsidR="00692B95" w:rsidRPr="00BF5FCE">
        <w:rPr>
          <w:rFonts w:ascii="Calibri" w:hAnsi="Calibri" w:cs="Calibri"/>
        </w:rPr>
        <w:t xml:space="preserve"> i Karate klub Štrigova 2.700,00 eura</w:t>
      </w:r>
      <w:r w:rsidRPr="00BF5FCE">
        <w:rPr>
          <w:rFonts w:ascii="Calibri" w:hAnsi="Calibri" w:cs="Calibri"/>
        </w:rPr>
        <w:t xml:space="preserve">.   </w:t>
      </w:r>
    </w:p>
    <w:p w14:paraId="13DCFD35" w14:textId="77777777" w:rsidR="001C4242" w:rsidRDefault="00000000">
      <w:pPr>
        <w:jc w:val="both"/>
        <w:rPr>
          <w:rFonts w:cstheme="minorHAnsi"/>
        </w:rPr>
      </w:pPr>
      <w:r>
        <w:rPr>
          <w:rFonts w:cstheme="minorHAnsi"/>
        </w:rPr>
        <w:tab/>
        <w:t xml:space="preserve">Cilj programa je poticanje uključivanja sve većeg broja mještana u sportske udruge radi povećanja fizičke aktivnosti, a to se posebno odnosi na djecu i mlade. Pokazatelj rezultata je veći broj mještana uključenih u rad klubova na području Općine.  </w:t>
      </w:r>
    </w:p>
    <w:p w14:paraId="4542F210" w14:textId="77777777" w:rsidR="00692B95" w:rsidRDefault="00692B95">
      <w:pPr>
        <w:jc w:val="both"/>
        <w:rPr>
          <w:rFonts w:cstheme="minorHAnsi"/>
        </w:rPr>
      </w:pPr>
    </w:p>
    <w:p w14:paraId="1FEAA329" w14:textId="77777777" w:rsidR="001C4242" w:rsidRDefault="00000000">
      <w:pPr>
        <w:jc w:val="both"/>
        <w:rPr>
          <w:rFonts w:cstheme="minorHAnsi"/>
          <w:b/>
          <w:bCs/>
        </w:rPr>
      </w:pPr>
      <w:r>
        <w:rPr>
          <w:rFonts w:cstheme="minorHAnsi"/>
        </w:rPr>
        <w:lastRenderedPageBreak/>
        <w:tab/>
      </w:r>
      <w:r>
        <w:rPr>
          <w:rFonts w:cstheme="minorHAnsi"/>
          <w:b/>
          <w:bCs/>
        </w:rPr>
        <w:t>PROGRAM 1008 RAZVOJ CIVILNOG DRUŠTVA</w:t>
      </w:r>
    </w:p>
    <w:p w14:paraId="651F0404" w14:textId="73D0682C" w:rsidR="005455F1" w:rsidRDefault="00000000">
      <w:pPr>
        <w:ind w:firstLine="708"/>
        <w:jc w:val="both"/>
        <w:rPr>
          <w:rFonts w:cstheme="minorHAnsi"/>
        </w:rPr>
      </w:pPr>
      <w:r>
        <w:rPr>
          <w:rFonts w:cstheme="minorHAnsi"/>
        </w:rPr>
        <w:t xml:space="preserve">Za financiranje navedenog programa u izvještajnom razdoblju je od planiranih </w:t>
      </w:r>
      <w:r w:rsidR="00BA3D5A">
        <w:rPr>
          <w:rFonts w:cstheme="minorHAnsi"/>
        </w:rPr>
        <w:t>11</w:t>
      </w:r>
      <w:r>
        <w:rPr>
          <w:rFonts w:cstheme="minorHAnsi"/>
        </w:rPr>
        <w:t>.</w:t>
      </w:r>
      <w:r w:rsidR="00BA3D5A">
        <w:rPr>
          <w:rFonts w:cstheme="minorHAnsi"/>
        </w:rPr>
        <w:t>000</w:t>
      </w:r>
      <w:r>
        <w:rPr>
          <w:rFonts w:cstheme="minorHAnsi"/>
        </w:rPr>
        <w:t xml:space="preserve">,00 eura utrošeno </w:t>
      </w:r>
      <w:r w:rsidR="00BA3D5A">
        <w:rPr>
          <w:rFonts w:cstheme="minorHAnsi"/>
        </w:rPr>
        <w:t>25</w:t>
      </w:r>
      <w:r>
        <w:rPr>
          <w:rFonts w:cstheme="minorHAnsi"/>
        </w:rPr>
        <w:t>.</w:t>
      </w:r>
      <w:r w:rsidR="00BA3D5A">
        <w:rPr>
          <w:rFonts w:cstheme="minorHAnsi"/>
        </w:rPr>
        <w:t>250</w:t>
      </w:r>
      <w:r>
        <w:rPr>
          <w:rFonts w:cstheme="minorHAnsi"/>
        </w:rPr>
        <w:t xml:space="preserve">,00 eura ili </w:t>
      </w:r>
      <w:r w:rsidR="00BA3D5A">
        <w:rPr>
          <w:rFonts w:cstheme="minorHAnsi"/>
        </w:rPr>
        <w:t>229</w:t>
      </w:r>
      <w:r>
        <w:rPr>
          <w:rFonts w:cstheme="minorHAnsi"/>
        </w:rPr>
        <w:t>,</w:t>
      </w:r>
      <w:r w:rsidR="00BA3D5A">
        <w:rPr>
          <w:rFonts w:cstheme="minorHAnsi"/>
        </w:rPr>
        <w:t>55</w:t>
      </w:r>
      <w:r>
        <w:rPr>
          <w:rFonts w:cstheme="minorHAnsi"/>
        </w:rPr>
        <w:t xml:space="preserve">%. Financijska sredstva dodijeljena su slijedećim udrugama: </w:t>
      </w:r>
      <w:proofErr w:type="spellStart"/>
      <w:r w:rsidR="005455F1">
        <w:rPr>
          <w:rFonts w:cstheme="minorHAnsi"/>
        </w:rPr>
        <w:t>Hortus</w:t>
      </w:r>
      <w:proofErr w:type="spellEnd"/>
      <w:r w:rsidR="005455F1">
        <w:rPr>
          <w:rFonts w:cstheme="minorHAnsi"/>
        </w:rPr>
        <w:t xml:space="preserve"> </w:t>
      </w:r>
      <w:proofErr w:type="spellStart"/>
      <w:r w:rsidR="005455F1">
        <w:rPr>
          <w:rFonts w:cstheme="minorHAnsi"/>
        </w:rPr>
        <w:t>Croatiae</w:t>
      </w:r>
      <w:proofErr w:type="spellEnd"/>
      <w:r w:rsidR="005455F1">
        <w:rPr>
          <w:rFonts w:cstheme="minorHAnsi"/>
        </w:rPr>
        <w:t xml:space="preserve"> 2.000,00 eura, Udruga dragovoljaca i veterana domovinskog rata Štrigova 5.000,00 eura, Udruga umirovljenika Štrigova 1.800,00 eura, LD Fazan Štrigova 8.500,00 eura,</w:t>
      </w:r>
      <w:r w:rsidR="0006336A">
        <w:rPr>
          <w:rFonts w:cstheme="minorHAnsi"/>
        </w:rPr>
        <w:t xml:space="preserve"> Humana nova 550,00 eura,</w:t>
      </w:r>
      <w:r w:rsidR="005455F1">
        <w:rPr>
          <w:rFonts w:cstheme="minorHAnsi"/>
        </w:rPr>
        <w:t xml:space="preserve"> </w:t>
      </w:r>
      <w:proofErr w:type="spellStart"/>
      <w:r w:rsidR="005455F1">
        <w:rPr>
          <w:rFonts w:cstheme="minorHAnsi"/>
        </w:rPr>
        <w:t>Murid</w:t>
      </w:r>
      <w:proofErr w:type="spellEnd"/>
      <w:r w:rsidR="005455F1">
        <w:rPr>
          <w:rFonts w:cstheme="minorHAnsi"/>
        </w:rPr>
        <w:t xml:space="preserve"> 400,00 eura, SU </w:t>
      </w:r>
      <w:proofErr w:type="spellStart"/>
      <w:r w:rsidR="005455F1">
        <w:rPr>
          <w:rFonts w:cstheme="minorHAnsi"/>
        </w:rPr>
        <w:t>Ftruc</w:t>
      </w:r>
      <w:proofErr w:type="spellEnd"/>
      <w:r w:rsidR="005455F1">
        <w:rPr>
          <w:rFonts w:cstheme="minorHAnsi"/>
        </w:rPr>
        <w:t xml:space="preserve"> 400,00 eura, Međimurski potrošač 550,00 eura, Udruga za sindrom </w:t>
      </w:r>
      <w:proofErr w:type="spellStart"/>
      <w:r w:rsidR="005455F1">
        <w:rPr>
          <w:rFonts w:cstheme="minorHAnsi"/>
        </w:rPr>
        <w:t>down</w:t>
      </w:r>
      <w:proofErr w:type="spellEnd"/>
      <w:r w:rsidR="005455F1">
        <w:rPr>
          <w:rFonts w:cstheme="minorHAnsi"/>
        </w:rPr>
        <w:t xml:space="preserve"> MŽ 450,00 eura, Društvo potrošača Međimurja 300,00 eura, Međimurski slatkiši 500,00 eura, Eko udruga Jelenje vode 500 eura, Radio klub Međimurje Čakovec 700,00 eura, Plesni studio Marti 800,00 eura, </w:t>
      </w:r>
      <w:proofErr w:type="spellStart"/>
      <w:r w:rsidR="005455F1">
        <w:rPr>
          <w:rFonts w:cstheme="minorHAnsi"/>
        </w:rPr>
        <w:t>Biovrt</w:t>
      </w:r>
      <w:proofErr w:type="spellEnd"/>
      <w:r w:rsidR="005455F1">
        <w:rPr>
          <w:rFonts w:cstheme="minorHAnsi"/>
        </w:rPr>
        <w:t xml:space="preserve"> 500,00 eura, Udruga pomoć neizlječivima 700,00 eura, Društvo osoba s tjelesnim invaliditetom 700,00 eura, Udruga slijepih MŽ 400,00 eura, Društvo Veteran 200,00 eura i 300,00 eura donacije ostalim nespomenutim udrugama.     </w:t>
      </w:r>
    </w:p>
    <w:p w14:paraId="27D0306E" w14:textId="77777777" w:rsidR="001C4242" w:rsidRDefault="00000000">
      <w:pPr>
        <w:jc w:val="both"/>
        <w:rPr>
          <w:rFonts w:cstheme="minorHAnsi"/>
        </w:rPr>
      </w:pPr>
      <w:r>
        <w:rPr>
          <w:rFonts w:cstheme="minorHAnsi"/>
        </w:rPr>
        <w:t>Cilj programa je poticanje razvoja civilnog društva, a pokazatelj rezultata sve veći broj udruga i njihovih manifestacija.</w:t>
      </w:r>
    </w:p>
    <w:p w14:paraId="78DEB23E" w14:textId="77777777" w:rsidR="001C4242" w:rsidRDefault="00000000">
      <w:pPr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  <w:b/>
          <w:bCs/>
        </w:rPr>
        <w:t>PROGRAM 1009 POTICANJE RAZVOJA TURIZMA</w:t>
      </w:r>
    </w:p>
    <w:p w14:paraId="1268DCE7" w14:textId="734761CD" w:rsidR="001C4242" w:rsidRDefault="00000000">
      <w:pPr>
        <w:jc w:val="both"/>
        <w:rPr>
          <w:rFonts w:cstheme="minorHAnsi"/>
        </w:rPr>
      </w:pPr>
      <w:r>
        <w:rPr>
          <w:rFonts w:cstheme="minorHAnsi"/>
        </w:rPr>
        <w:tab/>
        <w:t xml:space="preserve">Program 1009 Poticanje razvoja turizma planiran je u iznosu od </w:t>
      </w:r>
      <w:r w:rsidR="00477816">
        <w:rPr>
          <w:rFonts w:cstheme="minorHAnsi"/>
        </w:rPr>
        <w:t>294.000,00</w:t>
      </w:r>
      <w:r>
        <w:rPr>
          <w:rFonts w:cstheme="minorHAnsi"/>
        </w:rPr>
        <w:t xml:space="preserve"> eura, a izvršen u iznosu od </w:t>
      </w:r>
      <w:r w:rsidR="00477816">
        <w:rPr>
          <w:rFonts w:cstheme="minorHAnsi"/>
        </w:rPr>
        <w:t>37.325,00</w:t>
      </w:r>
      <w:r>
        <w:rPr>
          <w:rFonts w:cstheme="minorHAnsi"/>
        </w:rPr>
        <w:t xml:space="preserve"> eura ili na razini od </w:t>
      </w:r>
      <w:r w:rsidR="00477816">
        <w:rPr>
          <w:rFonts w:cstheme="minorHAnsi"/>
        </w:rPr>
        <w:t>12</w:t>
      </w:r>
      <w:r>
        <w:rPr>
          <w:rFonts w:cstheme="minorHAnsi"/>
        </w:rPr>
        <w:t>,</w:t>
      </w:r>
      <w:r w:rsidR="00477816">
        <w:rPr>
          <w:rFonts w:cstheme="minorHAnsi"/>
        </w:rPr>
        <w:t>70</w:t>
      </w:r>
      <w:r>
        <w:rPr>
          <w:rFonts w:cstheme="minorHAnsi"/>
        </w:rPr>
        <w:t>%. Turističkoj zajednici Općine Štrigova doznačen je iznos od 2</w:t>
      </w:r>
      <w:r w:rsidR="00477816">
        <w:rPr>
          <w:rFonts w:cstheme="minorHAnsi"/>
        </w:rPr>
        <w:t>4</w:t>
      </w:r>
      <w:r>
        <w:rPr>
          <w:rFonts w:cstheme="minorHAnsi"/>
        </w:rPr>
        <w:t>.</w:t>
      </w:r>
      <w:r w:rsidR="00477816">
        <w:rPr>
          <w:rFonts w:cstheme="minorHAnsi"/>
        </w:rPr>
        <w:t>5</w:t>
      </w:r>
      <w:r>
        <w:rPr>
          <w:rFonts w:cstheme="minorHAnsi"/>
        </w:rPr>
        <w:t xml:space="preserve">00,00 eura, za organizaciju Međunarodnog ocjenjivanje vina i  </w:t>
      </w:r>
      <w:proofErr w:type="spellStart"/>
      <w:r>
        <w:rPr>
          <w:rFonts w:cstheme="minorHAnsi"/>
        </w:rPr>
        <w:t>Urbanovo</w:t>
      </w:r>
      <w:proofErr w:type="spellEnd"/>
      <w:r>
        <w:rPr>
          <w:rFonts w:cstheme="minorHAnsi"/>
        </w:rPr>
        <w:t xml:space="preserve"> utrošeno je </w:t>
      </w:r>
      <w:r w:rsidR="00477816">
        <w:rPr>
          <w:rFonts w:cstheme="minorHAnsi"/>
        </w:rPr>
        <w:t>9</w:t>
      </w:r>
      <w:r>
        <w:rPr>
          <w:rFonts w:cstheme="minorHAnsi"/>
        </w:rPr>
        <w:t>.</w:t>
      </w:r>
      <w:r w:rsidR="00477816">
        <w:rPr>
          <w:rFonts w:cstheme="minorHAnsi"/>
        </w:rPr>
        <w:t>000</w:t>
      </w:r>
      <w:r>
        <w:rPr>
          <w:rFonts w:cstheme="minorHAnsi"/>
        </w:rPr>
        <w:t>,</w:t>
      </w:r>
      <w:r w:rsidR="00477816">
        <w:rPr>
          <w:rFonts w:cstheme="minorHAnsi"/>
        </w:rPr>
        <w:t>0</w:t>
      </w:r>
      <w:r>
        <w:rPr>
          <w:rFonts w:cstheme="minorHAnsi"/>
        </w:rPr>
        <w:t xml:space="preserve">0 eura, za </w:t>
      </w:r>
      <w:r w:rsidR="00477816">
        <w:rPr>
          <w:rFonts w:cstheme="minorHAnsi"/>
        </w:rPr>
        <w:t>manifestaciju Martinje na međimurskoj vinskoj cesti 700</w:t>
      </w:r>
      <w:r>
        <w:rPr>
          <w:rFonts w:cstheme="minorHAnsi"/>
        </w:rPr>
        <w:t>,00 eura</w:t>
      </w:r>
      <w:r w:rsidR="00477816">
        <w:rPr>
          <w:rFonts w:cstheme="minorHAnsi"/>
        </w:rPr>
        <w:t xml:space="preserve"> i Goričko sviralo 3.125,00 eura</w:t>
      </w:r>
      <w:r>
        <w:rPr>
          <w:rFonts w:cstheme="minorHAnsi"/>
        </w:rPr>
        <w:t xml:space="preserve">.  </w:t>
      </w:r>
    </w:p>
    <w:p w14:paraId="5BEF3E71" w14:textId="77777777" w:rsidR="001C4242" w:rsidRDefault="00000000">
      <w:pPr>
        <w:jc w:val="both"/>
        <w:rPr>
          <w:rFonts w:cstheme="minorHAnsi"/>
        </w:rPr>
      </w:pPr>
      <w:r>
        <w:rPr>
          <w:rFonts w:cstheme="minorHAnsi"/>
        </w:rPr>
        <w:t xml:space="preserve">  </w:t>
      </w:r>
      <w:r>
        <w:rPr>
          <w:rFonts w:cstheme="minorHAnsi"/>
        </w:rPr>
        <w:tab/>
        <w:t xml:space="preserve">Cilj programa je poticanje razvoja turizma kao značajne gospodarske grane na području općine Štrigova. Pokazatelj rezultata je sve veći broj posjetitelja na dnevnoj bazi i posjetitelja za vrijeme održavanja važnih manifestacija u općini Štrigova. </w:t>
      </w:r>
    </w:p>
    <w:p w14:paraId="043B5B8F" w14:textId="77777777" w:rsidR="001C4242" w:rsidRDefault="00000000">
      <w:pPr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  <w:b/>
          <w:bCs/>
        </w:rPr>
        <w:t>PROGRAM 1010 ORGANIZIRANJE I PROVOĐENJE ZAŠTITE I SPAŠAVANJA</w:t>
      </w:r>
    </w:p>
    <w:p w14:paraId="74341CA4" w14:textId="3A40E84E" w:rsidR="001C4242" w:rsidRDefault="00000000">
      <w:pPr>
        <w:jc w:val="both"/>
        <w:rPr>
          <w:rFonts w:cstheme="minorHAnsi"/>
        </w:rPr>
      </w:pPr>
      <w:r>
        <w:rPr>
          <w:rFonts w:cstheme="minorHAnsi"/>
        </w:rPr>
        <w:tab/>
        <w:t>Od planiranih 37.</w:t>
      </w:r>
      <w:r w:rsidR="00477816">
        <w:rPr>
          <w:rFonts w:cstheme="minorHAnsi"/>
        </w:rPr>
        <w:t>230</w:t>
      </w:r>
      <w:r>
        <w:rPr>
          <w:rFonts w:cstheme="minorHAnsi"/>
        </w:rPr>
        <w:t xml:space="preserve">,00 eura  utrošeno je </w:t>
      </w:r>
      <w:r w:rsidR="00477816">
        <w:rPr>
          <w:rFonts w:cstheme="minorHAnsi"/>
        </w:rPr>
        <w:t>27.237,38</w:t>
      </w:r>
      <w:r>
        <w:rPr>
          <w:rFonts w:cstheme="minorHAnsi"/>
        </w:rPr>
        <w:t xml:space="preserve"> eura ili </w:t>
      </w:r>
      <w:r w:rsidR="00477816">
        <w:rPr>
          <w:rFonts w:cstheme="minorHAnsi"/>
        </w:rPr>
        <w:t>73</w:t>
      </w:r>
      <w:r>
        <w:rPr>
          <w:rFonts w:cstheme="minorHAnsi"/>
        </w:rPr>
        <w:t>,</w:t>
      </w:r>
      <w:r w:rsidR="00477816">
        <w:rPr>
          <w:rFonts w:cstheme="minorHAnsi"/>
        </w:rPr>
        <w:t>16</w:t>
      </w:r>
      <w:r>
        <w:rPr>
          <w:rFonts w:cstheme="minorHAnsi"/>
        </w:rPr>
        <w:t>%. Sredstva za financiranje zaštite od požara odnose se na donaciju DVD-</w:t>
      </w:r>
      <w:r w:rsidR="00477816">
        <w:rPr>
          <w:rFonts w:cstheme="minorHAnsi"/>
        </w:rPr>
        <w:t xml:space="preserve">ima s područja Općine </w:t>
      </w:r>
      <w:r>
        <w:rPr>
          <w:rFonts w:cstheme="minorHAnsi"/>
        </w:rPr>
        <w:t xml:space="preserve"> </w:t>
      </w:r>
      <w:r w:rsidR="00477816">
        <w:rPr>
          <w:rFonts w:cstheme="minorHAnsi"/>
        </w:rPr>
        <w:t>Štrigova</w:t>
      </w:r>
      <w:r>
        <w:rPr>
          <w:rFonts w:cstheme="minorHAnsi"/>
        </w:rPr>
        <w:t xml:space="preserve"> </w:t>
      </w:r>
      <w:r w:rsidR="00477816">
        <w:rPr>
          <w:rFonts w:cstheme="minorHAnsi"/>
        </w:rPr>
        <w:t>( DVD Štrigova 13.000,00</w:t>
      </w:r>
      <w:r w:rsidR="0006336A">
        <w:rPr>
          <w:rFonts w:cstheme="minorHAnsi"/>
        </w:rPr>
        <w:t xml:space="preserve"> eura</w:t>
      </w:r>
      <w:r w:rsidR="00D248AC">
        <w:rPr>
          <w:rFonts w:cstheme="minorHAnsi"/>
        </w:rPr>
        <w:t xml:space="preserve">, DVD </w:t>
      </w:r>
      <w:proofErr w:type="spellStart"/>
      <w:r w:rsidR="00D248AC">
        <w:rPr>
          <w:rFonts w:cstheme="minorHAnsi"/>
        </w:rPr>
        <w:t>Robadje</w:t>
      </w:r>
      <w:proofErr w:type="spellEnd"/>
      <w:r w:rsidR="00D248AC">
        <w:rPr>
          <w:rFonts w:cstheme="minorHAnsi"/>
        </w:rPr>
        <w:t xml:space="preserve"> 4.000,00 eura, DVD </w:t>
      </w:r>
      <w:proofErr w:type="spellStart"/>
      <w:r w:rsidR="00D248AC">
        <w:rPr>
          <w:rFonts w:cstheme="minorHAnsi"/>
        </w:rPr>
        <w:t>Stanetinec</w:t>
      </w:r>
      <w:proofErr w:type="spellEnd"/>
      <w:r w:rsidR="00D248AC">
        <w:rPr>
          <w:rFonts w:cstheme="minorHAnsi"/>
        </w:rPr>
        <w:t xml:space="preserve"> 4.000,00  eura, DVD </w:t>
      </w:r>
      <w:proofErr w:type="spellStart"/>
      <w:r w:rsidR="00D248AC">
        <w:rPr>
          <w:rFonts w:cstheme="minorHAnsi"/>
        </w:rPr>
        <w:t>Železna</w:t>
      </w:r>
      <w:proofErr w:type="spellEnd"/>
      <w:r w:rsidR="00D248AC">
        <w:rPr>
          <w:rFonts w:cstheme="minorHAnsi"/>
        </w:rPr>
        <w:t xml:space="preserve"> Gora 4.000,00 eura</w:t>
      </w:r>
      <w:r w:rsidR="00477816">
        <w:rPr>
          <w:rFonts w:cstheme="minorHAnsi"/>
        </w:rPr>
        <w:t xml:space="preserve">, </w:t>
      </w:r>
      <w:r>
        <w:rPr>
          <w:rFonts w:cstheme="minorHAnsi"/>
        </w:rPr>
        <w:t xml:space="preserve">uplatu Vatrogasnoj zajednici MŽ 449,88 eura. Za civilnu zaštitu je utrošeno </w:t>
      </w:r>
      <w:r w:rsidR="00D248AC">
        <w:rPr>
          <w:rFonts w:cstheme="minorHAnsi"/>
        </w:rPr>
        <w:t>1.787,50 eura</w:t>
      </w:r>
      <w:r>
        <w:rPr>
          <w:rFonts w:cstheme="minorHAnsi"/>
        </w:rPr>
        <w:t>.</w:t>
      </w:r>
    </w:p>
    <w:p w14:paraId="0E3BB96A" w14:textId="77777777" w:rsidR="001C4242" w:rsidRDefault="00000000">
      <w:pPr>
        <w:jc w:val="both"/>
        <w:rPr>
          <w:rFonts w:cstheme="minorHAnsi"/>
        </w:rPr>
      </w:pPr>
      <w:r>
        <w:rPr>
          <w:rFonts w:cstheme="minorHAnsi"/>
        </w:rPr>
        <w:tab/>
        <w:t>Cilj programa je pružanje sigurnosti mještanima Općine, kao i pomoć u radu Javne vatrogasne postrojbe i DVD-ova s područja Općine Štrigova. Pokazatelj rezultata je povećanje kvalitete rada DVD-a s područja Općine.</w:t>
      </w:r>
    </w:p>
    <w:p w14:paraId="2444D879" w14:textId="77777777" w:rsidR="001C4242" w:rsidRDefault="00000000">
      <w:pPr>
        <w:jc w:val="both"/>
        <w:rPr>
          <w:rFonts w:cstheme="minorHAnsi"/>
        </w:rPr>
      </w:pPr>
      <w:r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  <w:b/>
          <w:bCs/>
        </w:rPr>
        <w:t xml:space="preserve">PROGRAM 1011 OSNOVNO I SREDNJOŠKOLSKO OBRAZOVANJE        </w:t>
      </w:r>
    </w:p>
    <w:p w14:paraId="00315FF2" w14:textId="337D3649" w:rsidR="001C4242" w:rsidRDefault="00000000">
      <w:pPr>
        <w:jc w:val="both"/>
        <w:rPr>
          <w:rFonts w:cstheme="minorHAnsi"/>
        </w:rPr>
      </w:pPr>
      <w:r>
        <w:rPr>
          <w:rFonts w:cstheme="minorHAnsi"/>
        </w:rPr>
        <w:tab/>
        <w:t>Za realizaciju navedenog programa od planiranih 4</w:t>
      </w:r>
      <w:r w:rsidR="00D248AC">
        <w:rPr>
          <w:rFonts w:cstheme="minorHAnsi"/>
        </w:rPr>
        <w:t>1</w:t>
      </w:r>
      <w:r>
        <w:rPr>
          <w:rFonts w:cstheme="minorHAnsi"/>
        </w:rPr>
        <w:t>.</w:t>
      </w:r>
      <w:r w:rsidR="00D248AC">
        <w:rPr>
          <w:rFonts w:cstheme="minorHAnsi"/>
        </w:rPr>
        <w:t>000</w:t>
      </w:r>
      <w:r>
        <w:rPr>
          <w:rFonts w:cstheme="minorHAnsi"/>
        </w:rPr>
        <w:t xml:space="preserve">,00 eura utrošeno je </w:t>
      </w:r>
      <w:r w:rsidR="00D248AC">
        <w:rPr>
          <w:rFonts w:cstheme="minorHAnsi"/>
        </w:rPr>
        <w:t>11</w:t>
      </w:r>
      <w:r>
        <w:rPr>
          <w:rFonts w:cstheme="minorHAnsi"/>
        </w:rPr>
        <w:t>.</w:t>
      </w:r>
      <w:r w:rsidR="006812FB">
        <w:rPr>
          <w:rFonts w:cstheme="minorHAnsi"/>
        </w:rPr>
        <w:t>867</w:t>
      </w:r>
      <w:r>
        <w:rPr>
          <w:rFonts w:cstheme="minorHAnsi"/>
        </w:rPr>
        <w:t>,</w:t>
      </w:r>
      <w:r w:rsidR="006812FB">
        <w:rPr>
          <w:rFonts w:cstheme="minorHAnsi"/>
        </w:rPr>
        <w:t>83</w:t>
      </w:r>
      <w:r>
        <w:rPr>
          <w:rFonts w:cstheme="minorHAnsi"/>
        </w:rPr>
        <w:t xml:space="preserve"> eura ili </w:t>
      </w:r>
      <w:r w:rsidR="00D248AC">
        <w:rPr>
          <w:rFonts w:cstheme="minorHAnsi"/>
        </w:rPr>
        <w:t>28</w:t>
      </w:r>
      <w:r>
        <w:rPr>
          <w:rFonts w:cstheme="minorHAnsi"/>
        </w:rPr>
        <w:t>,</w:t>
      </w:r>
      <w:r w:rsidR="006812FB">
        <w:rPr>
          <w:rFonts w:cstheme="minorHAnsi"/>
        </w:rPr>
        <w:t>95</w:t>
      </w:r>
      <w:r>
        <w:rPr>
          <w:rFonts w:cstheme="minorHAnsi"/>
        </w:rPr>
        <w:t xml:space="preserve">%. Od navedenog je za </w:t>
      </w:r>
      <w:r w:rsidR="00D248AC">
        <w:rPr>
          <w:rFonts w:cstheme="minorHAnsi"/>
        </w:rPr>
        <w:t xml:space="preserve">nabavu školskih udžbenika </w:t>
      </w:r>
      <w:r>
        <w:rPr>
          <w:rFonts w:cstheme="minorHAnsi"/>
        </w:rPr>
        <w:t xml:space="preserve">utrošeno </w:t>
      </w:r>
      <w:r w:rsidR="00D248AC">
        <w:rPr>
          <w:rFonts w:cstheme="minorHAnsi"/>
        </w:rPr>
        <w:t>248,43</w:t>
      </w:r>
      <w:r>
        <w:rPr>
          <w:rFonts w:cstheme="minorHAnsi"/>
        </w:rPr>
        <w:t xml:space="preserve"> eura, za ostale potrebe u školstvu (sufinanciranje </w:t>
      </w:r>
      <w:r w:rsidR="00D248AC">
        <w:rPr>
          <w:rFonts w:cstheme="minorHAnsi"/>
        </w:rPr>
        <w:t>izleta</w:t>
      </w:r>
      <w:r>
        <w:rPr>
          <w:rFonts w:cstheme="minorHAnsi"/>
        </w:rPr>
        <w:t xml:space="preserve"> i maturalnog putovanja za učenike 7. razreda) </w:t>
      </w:r>
      <w:r w:rsidR="00D248AC">
        <w:rPr>
          <w:rFonts w:cstheme="minorHAnsi"/>
        </w:rPr>
        <w:t>2</w:t>
      </w:r>
      <w:r>
        <w:rPr>
          <w:rFonts w:cstheme="minorHAnsi"/>
        </w:rPr>
        <w:t>.</w:t>
      </w:r>
      <w:r w:rsidR="00D248AC">
        <w:rPr>
          <w:rFonts w:cstheme="minorHAnsi"/>
        </w:rPr>
        <w:t>076</w:t>
      </w:r>
      <w:r>
        <w:rPr>
          <w:rFonts w:cstheme="minorHAnsi"/>
        </w:rPr>
        <w:t>,</w:t>
      </w:r>
      <w:r w:rsidR="00D248AC">
        <w:rPr>
          <w:rFonts w:cstheme="minorHAnsi"/>
        </w:rPr>
        <w:t>60</w:t>
      </w:r>
      <w:r>
        <w:rPr>
          <w:rFonts w:cstheme="minorHAnsi"/>
        </w:rPr>
        <w:t xml:space="preserve"> eura</w:t>
      </w:r>
      <w:r w:rsidR="006812FB">
        <w:rPr>
          <w:rFonts w:cstheme="minorHAnsi"/>
        </w:rPr>
        <w:t xml:space="preserve">, </w:t>
      </w:r>
      <w:r>
        <w:rPr>
          <w:rFonts w:cstheme="minorHAnsi"/>
        </w:rPr>
        <w:t>za financiranje prehrane učenika OŠ Štrigova 6.</w:t>
      </w:r>
      <w:r w:rsidR="006812FB">
        <w:rPr>
          <w:rFonts w:cstheme="minorHAnsi"/>
        </w:rPr>
        <w:t>342</w:t>
      </w:r>
      <w:r>
        <w:rPr>
          <w:rFonts w:cstheme="minorHAnsi"/>
        </w:rPr>
        <w:t>,</w:t>
      </w:r>
      <w:r w:rsidR="006812FB">
        <w:rPr>
          <w:rFonts w:cstheme="minorHAnsi"/>
        </w:rPr>
        <w:t>80</w:t>
      </w:r>
      <w:r>
        <w:rPr>
          <w:rFonts w:cstheme="minorHAnsi"/>
        </w:rPr>
        <w:t xml:space="preserve"> eura</w:t>
      </w:r>
      <w:r w:rsidR="006812FB">
        <w:rPr>
          <w:rFonts w:cstheme="minorHAnsi"/>
        </w:rPr>
        <w:t xml:space="preserve"> i sufinanciranje deficitarnih zanimanja 3.200,00 eura</w:t>
      </w:r>
      <w:r>
        <w:rPr>
          <w:rFonts w:cstheme="minorHAnsi"/>
        </w:rPr>
        <w:t xml:space="preserve">.  </w:t>
      </w:r>
    </w:p>
    <w:p w14:paraId="013A6D0F" w14:textId="77777777" w:rsidR="001C4242" w:rsidRDefault="00000000">
      <w:pPr>
        <w:jc w:val="both"/>
        <w:rPr>
          <w:rFonts w:cstheme="minorHAnsi"/>
        </w:rPr>
      </w:pPr>
      <w:r>
        <w:rPr>
          <w:rFonts w:cstheme="minorHAnsi"/>
        </w:rPr>
        <w:t xml:space="preserve">  </w:t>
      </w:r>
      <w:r>
        <w:rPr>
          <w:rFonts w:cstheme="minorHAnsi"/>
        </w:rPr>
        <w:tab/>
        <w:t xml:space="preserve">Cilj programa je pomoć roditeljima u sufinanciranju osnovnoškolskog obrazovanja. Pokazatelj rezultata je povećanje kvalitete obrazovanja učenika osnovnih škola.  </w:t>
      </w:r>
    </w:p>
    <w:p w14:paraId="10C0E73A" w14:textId="77777777" w:rsidR="001C4242" w:rsidRDefault="00000000">
      <w:pPr>
        <w:jc w:val="both"/>
        <w:rPr>
          <w:rFonts w:cstheme="minorHAnsi"/>
        </w:rPr>
      </w:pPr>
      <w:r>
        <w:rPr>
          <w:rFonts w:cstheme="minorHAnsi"/>
        </w:rPr>
        <w:lastRenderedPageBreak/>
        <w:tab/>
      </w:r>
      <w:r>
        <w:rPr>
          <w:rFonts w:cstheme="minorHAnsi"/>
          <w:b/>
          <w:bCs/>
        </w:rPr>
        <w:t>PROGRAM 1012 PREDŠKOLSKI ODGOJ</w:t>
      </w:r>
    </w:p>
    <w:p w14:paraId="53736427" w14:textId="1500BC45" w:rsidR="001C4242" w:rsidRDefault="00000000">
      <w:pPr>
        <w:jc w:val="both"/>
        <w:rPr>
          <w:rFonts w:cstheme="minorHAnsi"/>
        </w:rPr>
      </w:pPr>
      <w:r>
        <w:rPr>
          <w:rFonts w:cstheme="minorHAnsi"/>
        </w:rPr>
        <w:tab/>
      </w:r>
      <w:r w:rsidR="006812FB">
        <w:rPr>
          <w:rFonts w:cstheme="minorHAnsi"/>
        </w:rPr>
        <w:t xml:space="preserve">U okviru programa </w:t>
      </w:r>
      <w:r>
        <w:rPr>
          <w:rFonts w:cstheme="minorHAnsi"/>
        </w:rPr>
        <w:t xml:space="preserve">predškolski odgoj </w:t>
      </w:r>
      <w:r w:rsidR="006812FB">
        <w:rPr>
          <w:rFonts w:cstheme="minorHAnsi"/>
        </w:rPr>
        <w:t xml:space="preserve">za </w:t>
      </w:r>
      <w:r>
        <w:rPr>
          <w:rFonts w:cstheme="minorHAnsi"/>
        </w:rPr>
        <w:t>sufinanciranje dječjeg vrtića i jaslica</w:t>
      </w:r>
      <w:r w:rsidR="006812FB">
        <w:rPr>
          <w:rFonts w:cstheme="minorHAnsi"/>
        </w:rPr>
        <w:t xml:space="preserve"> i izgradnju općinskog vrtića </w:t>
      </w:r>
      <w:r>
        <w:rPr>
          <w:rFonts w:cstheme="minorHAnsi"/>
        </w:rPr>
        <w:t xml:space="preserve">od planiranih </w:t>
      </w:r>
      <w:r w:rsidR="006812FB">
        <w:rPr>
          <w:rFonts w:cstheme="minorHAnsi"/>
        </w:rPr>
        <w:t>243</w:t>
      </w:r>
      <w:r>
        <w:rPr>
          <w:rFonts w:cstheme="minorHAnsi"/>
        </w:rPr>
        <w:t>.</w:t>
      </w:r>
      <w:r w:rsidR="006812FB">
        <w:rPr>
          <w:rFonts w:cstheme="minorHAnsi"/>
        </w:rPr>
        <w:t>000</w:t>
      </w:r>
      <w:r>
        <w:rPr>
          <w:rFonts w:cstheme="minorHAnsi"/>
        </w:rPr>
        <w:t xml:space="preserve">,00 eura utrošeno je </w:t>
      </w:r>
      <w:r w:rsidR="006812FB">
        <w:rPr>
          <w:rFonts w:cstheme="minorHAnsi"/>
        </w:rPr>
        <w:t>105</w:t>
      </w:r>
      <w:r>
        <w:rPr>
          <w:rFonts w:cstheme="minorHAnsi"/>
        </w:rPr>
        <w:t>.</w:t>
      </w:r>
      <w:r w:rsidR="006812FB">
        <w:rPr>
          <w:rFonts w:cstheme="minorHAnsi"/>
        </w:rPr>
        <w:t>510,84</w:t>
      </w:r>
      <w:r>
        <w:rPr>
          <w:rFonts w:cstheme="minorHAnsi"/>
        </w:rPr>
        <w:t xml:space="preserve"> eura ili 4</w:t>
      </w:r>
      <w:r w:rsidR="006812FB">
        <w:rPr>
          <w:rFonts w:cstheme="minorHAnsi"/>
        </w:rPr>
        <w:t>3</w:t>
      </w:r>
      <w:r>
        <w:rPr>
          <w:rFonts w:cstheme="minorHAnsi"/>
        </w:rPr>
        <w:t>,</w:t>
      </w:r>
      <w:r w:rsidR="006812FB">
        <w:rPr>
          <w:rFonts w:cstheme="minorHAnsi"/>
        </w:rPr>
        <w:t>42</w:t>
      </w:r>
      <w:r>
        <w:rPr>
          <w:rFonts w:cstheme="minorHAnsi"/>
        </w:rPr>
        <w:t>% planiranog.</w:t>
      </w:r>
    </w:p>
    <w:p w14:paraId="0CD5FBF8" w14:textId="77777777" w:rsidR="001C4242" w:rsidRDefault="00000000">
      <w:pPr>
        <w:jc w:val="both"/>
        <w:rPr>
          <w:rFonts w:cstheme="minorHAnsi"/>
        </w:rPr>
      </w:pPr>
      <w:r>
        <w:rPr>
          <w:rFonts w:cstheme="minorHAnsi"/>
        </w:rPr>
        <w:t xml:space="preserve"> </w:t>
      </w:r>
      <w:r>
        <w:rPr>
          <w:rFonts w:cstheme="minorHAnsi"/>
        </w:rPr>
        <w:tab/>
        <w:t xml:space="preserve">Cilj programa je sufinanciranje dječjeg vrtića i jaslica. Pokazatelj rezultata je sve veći broj djece upisanih u predškolske ustanove. </w:t>
      </w:r>
    </w:p>
    <w:p w14:paraId="08301DBB" w14:textId="77777777" w:rsidR="001C4242" w:rsidRDefault="00000000">
      <w:pPr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  <w:b/>
          <w:bCs/>
        </w:rPr>
        <w:t>PROGRAM 1013 VISOKO OBRAZOVANJE</w:t>
      </w:r>
    </w:p>
    <w:p w14:paraId="38F15119" w14:textId="3D9481AD" w:rsidR="001C4242" w:rsidRDefault="00000000">
      <w:pPr>
        <w:ind w:firstLine="708"/>
        <w:jc w:val="both"/>
        <w:rPr>
          <w:rFonts w:cstheme="minorHAnsi"/>
        </w:rPr>
      </w:pPr>
      <w:r>
        <w:rPr>
          <w:rFonts w:cstheme="minorHAnsi"/>
        </w:rPr>
        <w:t xml:space="preserve">U sklopu programa visoko obrazovanje </w:t>
      </w:r>
      <w:r w:rsidR="006812FB">
        <w:rPr>
          <w:rFonts w:cstheme="minorHAnsi"/>
        </w:rPr>
        <w:t>isplaćene su jednokratne pomoći studentima u iznosu od 9.100,00 eura ili 33,70%</w:t>
      </w:r>
      <w:r>
        <w:rPr>
          <w:rFonts w:cstheme="minorHAnsi"/>
        </w:rPr>
        <w:t xml:space="preserve">. </w:t>
      </w:r>
    </w:p>
    <w:p w14:paraId="1CC0EE79" w14:textId="77777777" w:rsidR="001C4242" w:rsidRDefault="00000000">
      <w:pPr>
        <w:jc w:val="both"/>
        <w:rPr>
          <w:rFonts w:cstheme="minorHAnsi"/>
        </w:rPr>
      </w:pPr>
      <w:r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  <w:b/>
          <w:bCs/>
        </w:rPr>
        <w:t xml:space="preserve">PROGRAM 1014 SOCIJALNA SKRB  </w:t>
      </w:r>
    </w:p>
    <w:p w14:paraId="308948E3" w14:textId="06F041AB" w:rsidR="001C4242" w:rsidRDefault="00000000">
      <w:pPr>
        <w:jc w:val="both"/>
        <w:rPr>
          <w:rFonts w:cstheme="minorHAnsi"/>
        </w:rPr>
      </w:pPr>
      <w:r>
        <w:rPr>
          <w:rFonts w:cstheme="minorHAnsi"/>
        </w:rPr>
        <w:tab/>
        <w:t xml:space="preserve">Planirana sredstva u iznosu od </w:t>
      </w:r>
      <w:r w:rsidR="00695ED5">
        <w:rPr>
          <w:rFonts w:cstheme="minorHAnsi"/>
        </w:rPr>
        <w:t>68.500,00</w:t>
      </w:r>
      <w:r>
        <w:rPr>
          <w:rFonts w:cstheme="minorHAnsi"/>
        </w:rPr>
        <w:t xml:space="preserve"> eura izvršena su u iznosu od 5</w:t>
      </w:r>
      <w:r w:rsidR="00695ED5">
        <w:rPr>
          <w:rFonts w:cstheme="minorHAnsi"/>
        </w:rPr>
        <w:t>6</w:t>
      </w:r>
      <w:r>
        <w:rPr>
          <w:rFonts w:cstheme="minorHAnsi"/>
        </w:rPr>
        <w:t>.</w:t>
      </w:r>
      <w:r w:rsidR="00695ED5">
        <w:rPr>
          <w:rFonts w:cstheme="minorHAnsi"/>
        </w:rPr>
        <w:t>243</w:t>
      </w:r>
      <w:r>
        <w:rPr>
          <w:rFonts w:cstheme="minorHAnsi"/>
        </w:rPr>
        <w:t>,</w:t>
      </w:r>
      <w:r w:rsidR="00695ED5">
        <w:rPr>
          <w:rFonts w:cstheme="minorHAnsi"/>
        </w:rPr>
        <w:t>96</w:t>
      </w:r>
      <w:r>
        <w:rPr>
          <w:rFonts w:cstheme="minorHAnsi"/>
        </w:rPr>
        <w:t xml:space="preserve"> eura ili na razini od </w:t>
      </w:r>
      <w:r w:rsidR="00695ED5">
        <w:rPr>
          <w:rFonts w:cstheme="minorHAnsi"/>
        </w:rPr>
        <w:t>82</w:t>
      </w:r>
      <w:r>
        <w:rPr>
          <w:rFonts w:cstheme="minorHAnsi"/>
        </w:rPr>
        <w:t>,</w:t>
      </w:r>
      <w:r w:rsidR="00695ED5">
        <w:rPr>
          <w:rFonts w:cstheme="minorHAnsi"/>
        </w:rPr>
        <w:t>11</w:t>
      </w:r>
      <w:r>
        <w:rPr>
          <w:rFonts w:cstheme="minorHAnsi"/>
        </w:rPr>
        <w:t xml:space="preserve">%. Od navedenog je za  jednokratne pomoći utrošeno </w:t>
      </w:r>
      <w:r w:rsidR="00695ED5">
        <w:rPr>
          <w:rFonts w:cstheme="minorHAnsi"/>
        </w:rPr>
        <w:t>500</w:t>
      </w:r>
      <w:r>
        <w:rPr>
          <w:rFonts w:cstheme="minorHAnsi"/>
        </w:rPr>
        <w:t xml:space="preserve">,00 eura,  naknada za novorođenčad isplaćena je u iznosu od </w:t>
      </w:r>
      <w:r w:rsidR="00695ED5">
        <w:rPr>
          <w:rFonts w:cstheme="minorHAnsi"/>
        </w:rPr>
        <w:t>5</w:t>
      </w:r>
      <w:r>
        <w:rPr>
          <w:rFonts w:cstheme="minorHAnsi"/>
        </w:rPr>
        <w:t>.</w:t>
      </w:r>
      <w:r w:rsidR="00695ED5">
        <w:rPr>
          <w:rFonts w:cstheme="minorHAnsi"/>
        </w:rPr>
        <w:t>820</w:t>
      </w:r>
      <w:r>
        <w:rPr>
          <w:rFonts w:cstheme="minorHAnsi"/>
        </w:rPr>
        <w:t>,</w:t>
      </w:r>
      <w:r w:rsidR="00695ED5">
        <w:rPr>
          <w:rFonts w:cstheme="minorHAnsi"/>
        </w:rPr>
        <w:t>00</w:t>
      </w:r>
      <w:r>
        <w:rPr>
          <w:rFonts w:cstheme="minorHAnsi"/>
        </w:rPr>
        <w:t xml:space="preserve"> eura,  a umirovljenicima</w:t>
      </w:r>
      <w:r w:rsidR="00695ED5">
        <w:rPr>
          <w:rFonts w:cstheme="minorHAnsi"/>
        </w:rPr>
        <w:t xml:space="preserve"> i osobama bez primanja</w:t>
      </w:r>
      <w:r>
        <w:rPr>
          <w:rFonts w:cstheme="minorHAnsi"/>
        </w:rPr>
        <w:t xml:space="preserve"> su podijeljeni bonovi povodom uskrsnih blagdana u iznosu od </w:t>
      </w:r>
      <w:r w:rsidR="00695ED5">
        <w:rPr>
          <w:rFonts w:cstheme="minorHAnsi"/>
        </w:rPr>
        <w:t>41</w:t>
      </w:r>
      <w:r>
        <w:rPr>
          <w:rFonts w:cstheme="minorHAnsi"/>
        </w:rPr>
        <w:t>.</w:t>
      </w:r>
      <w:r w:rsidR="00695ED5">
        <w:rPr>
          <w:rFonts w:cstheme="minorHAnsi"/>
        </w:rPr>
        <w:t>126</w:t>
      </w:r>
      <w:r>
        <w:rPr>
          <w:rFonts w:cstheme="minorHAnsi"/>
        </w:rPr>
        <w:t>,</w:t>
      </w:r>
      <w:r w:rsidR="00695ED5">
        <w:rPr>
          <w:rFonts w:cstheme="minorHAnsi"/>
        </w:rPr>
        <w:t>31</w:t>
      </w:r>
      <w:r>
        <w:rPr>
          <w:rFonts w:cstheme="minorHAnsi"/>
        </w:rPr>
        <w:t xml:space="preserve"> eura</w:t>
      </w:r>
      <w:r w:rsidR="00695ED5">
        <w:rPr>
          <w:rFonts w:cstheme="minorHAnsi"/>
        </w:rPr>
        <w:t xml:space="preserve">, Gradskom društvu Crvenog križa Čakovec 6.200,00 eura i </w:t>
      </w:r>
      <w:r w:rsidR="00533724">
        <w:rPr>
          <w:rFonts w:cstheme="minorHAnsi"/>
        </w:rPr>
        <w:t>za sufinanciranje projekta Centar DOSTI 2.597,65 eura</w:t>
      </w:r>
      <w:r>
        <w:rPr>
          <w:rFonts w:cstheme="minorHAnsi"/>
        </w:rPr>
        <w:t xml:space="preserve">.  </w:t>
      </w:r>
    </w:p>
    <w:p w14:paraId="1DBDF765" w14:textId="77777777" w:rsidR="001C4242" w:rsidRDefault="00000000">
      <w:pPr>
        <w:jc w:val="both"/>
        <w:rPr>
          <w:rFonts w:cstheme="minorHAnsi"/>
        </w:rPr>
      </w:pPr>
      <w:r>
        <w:rPr>
          <w:rFonts w:cstheme="minorHAnsi"/>
        </w:rPr>
        <w:tab/>
        <w:t>Cilj programa je pomoć obiteljima i kućanstvima slabijeg imovinskog statusa, osobama starije životne dobi i mladim obiteljima prilikom rođenja djeteta, a očituje se u poboljšanju kvalitete života.</w:t>
      </w:r>
    </w:p>
    <w:p w14:paraId="1BC8A9BF" w14:textId="77777777" w:rsidR="001C4242" w:rsidRDefault="00000000">
      <w:pPr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  <w:b/>
          <w:bCs/>
        </w:rPr>
        <w:t>PROGRAM 1015 ZAŠTITA, OČUVANJE I UNAPREĐENJE ZDRAVLJA</w:t>
      </w:r>
    </w:p>
    <w:p w14:paraId="7C24C5DF" w14:textId="3DF4BCFD" w:rsidR="001C4242" w:rsidRDefault="00000000">
      <w:pPr>
        <w:jc w:val="both"/>
        <w:rPr>
          <w:rFonts w:cstheme="minorHAnsi"/>
        </w:rPr>
      </w:pPr>
      <w:r>
        <w:rPr>
          <w:rFonts w:cstheme="minorHAnsi"/>
        </w:rPr>
        <w:tab/>
        <w:t xml:space="preserve">Planirana sredstva u okviru programa zaštite, očuvanja i unapređenja zdravlja utrošena su u iznosu od </w:t>
      </w:r>
      <w:r w:rsidR="00533724">
        <w:rPr>
          <w:rFonts w:cstheme="minorHAnsi"/>
        </w:rPr>
        <w:t>3.217,57</w:t>
      </w:r>
      <w:r>
        <w:rPr>
          <w:rFonts w:cstheme="minorHAnsi"/>
        </w:rPr>
        <w:t xml:space="preserve"> eura ili na razini od </w:t>
      </w:r>
      <w:r w:rsidR="00533724">
        <w:rPr>
          <w:rFonts w:cstheme="minorHAnsi"/>
        </w:rPr>
        <w:t>54</w:t>
      </w:r>
      <w:r>
        <w:rPr>
          <w:rFonts w:cstheme="minorHAnsi"/>
        </w:rPr>
        <w:t>,</w:t>
      </w:r>
      <w:r w:rsidR="00533724">
        <w:rPr>
          <w:rFonts w:cstheme="minorHAnsi"/>
        </w:rPr>
        <w:t>49</w:t>
      </w:r>
      <w:r>
        <w:rPr>
          <w:rFonts w:cstheme="minorHAnsi"/>
        </w:rPr>
        <w:t xml:space="preserve">%. Za refundaciju troškova zakupa za hitnu medicinu u gradu Mursko Središće utrošeno je 501,60 eura, za kupnju trakica za mjerenje šećera u krvi </w:t>
      </w:r>
      <w:r w:rsidR="00533724">
        <w:rPr>
          <w:rFonts w:cstheme="minorHAnsi"/>
        </w:rPr>
        <w:t>37</w:t>
      </w:r>
      <w:r>
        <w:rPr>
          <w:rFonts w:cstheme="minorHAnsi"/>
        </w:rPr>
        <w:t>,</w:t>
      </w:r>
      <w:r w:rsidR="00533724">
        <w:rPr>
          <w:rFonts w:cstheme="minorHAnsi"/>
        </w:rPr>
        <w:t>42</w:t>
      </w:r>
      <w:r>
        <w:rPr>
          <w:rFonts w:cstheme="minorHAnsi"/>
        </w:rPr>
        <w:t xml:space="preserve"> eura,</w:t>
      </w:r>
      <w:r w:rsidR="00533724">
        <w:rPr>
          <w:rFonts w:cstheme="minorHAnsi"/>
        </w:rPr>
        <w:t xml:space="preserve"> za provedbu mjera zaštite životinja utrošeno je 2.337,50 eura i  za kupnju opreme za Županijsku bolnicu Čakovec 341,05 eura. </w:t>
      </w:r>
      <w:r>
        <w:rPr>
          <w:rFonts w:cstheme="minorHAnsi"/>
        </w:rPr>
        <w:t xml:space="preserve"> </w:t>
      </w:r>
    </w:p>
    <w:p w14:paraId="29C7F2C6" w14:textId="77777777" w:rsidR="001C4242" w:rsidRDefault="00000000">
      <w:pPr>
        <w:jc w:val="both"/>
        <w:rPr>
          <w:rFonts w:cstheme="minorHAnsi"/>
        </w:rPr>
      </w:pPr>
      <w:r>
        <w:rPr>
          <w:rFonts w:cstheme="minorHAnsi"/>
        </w:rPr>
        <w:tab/>
        <w:t xml:space="preserve">Cilj programa je zaštita zdravlja ljudi i životinja. Pokazatelj rezultata se očituje u poboljšanju kvalitete zdravstvene zaštite.      </w:t>
      </w:r>
    </w:p>
    <w:p w14:paraId="76B96C05" w14:textId="77777777" w:rsidR="001C4242" w:rsidRDefault="00000000">
      <w:pPr>
        <w:jc w:val="both"/>
        <w:rPr>
          <w:rFonts w:cstheme="minorHAnsi"/>
          <w:b/>
          <w:bCs/>
        </w:rPr>
      </w:pPr>
      <w:r>
        <w:rPr>
          <w:rFonts w:cstheme="minorHAnsi"/>
        </w:rPr>
        <w:tab/>
      </w:r>
      <w:r>
        <w:rPr>
          <w:rFonts w:cstheme="minorHAnsi"/>
          <w:b/>
          <w:bCs/>
        </w:rPr>
        <w:t xml:space="preserve">PROGRAM 1016 KOMUNALNE POGODNOSTI </w:t>
      </w:r>
    </w:p>
    <w:p w14:paraId="4271F0B4" w14:textId="46D113FD" w:rsidR="001C4242" w:rsidRDefault="00000000">
      <w:pPr>
        <w:jc w:val="both"/>
        <w:rPr>
          <w:rFonts w:eastAsiaTheme="minorHAnsi" w:cstheme="minorHAnsi"/>
          <w:sz w:val="20"/>
          <w:szCs w:val="20"/>
        </w:rPr>
      </w:pPr>
      <w:r>
        <w:rPr>
          <w:rFonts w:cstheme="minorHAnsi"/>
          <w:b/>
          <w:bCs/>
        </w:rPr>
        <w:tab/>
      </w:r>
      <w:r>
        <w:rPr>
          <w:rFonts w:eastAsiaTheme="minorHAnsi" w:cstheme="minorHAnsi"/>
          <w:sz w:val="20"/>
          <w:szCs w:val="20"/>
        </w:rPr>
        <w:t>Program 1016 se odnosi na dodjelu poticaja za uređenje nekretnina</w:t>
      </w:r>
      <w:r w:rsidR="00533724">
        <w:rPr>
          <w:rFonts w:eastAsiaTheme="minorHAnsi" w:cstheme="minorHAnsi"/>
          <w:sz w:val="20"/>
          <w:szCs w:val="20"/>
        </w:rPr>
        <w:t xml:space="preserve">, </w:t>
      </w:r>
      <w:r>
        <w:rPr>
          <w:rFonts w:eastAsiaTheme="minorHAnsi" w:cstheme="minorHAnsi"/>
          <w:sz w:val="20"/>
          <w:szCs w:val="20"/>
        </w:rPr>
        <w:t>izgradnju infrastrukture u zoni stambene izgradnje</w:t>
      </w:r>
      <w:r w:rsidR="004B180C">
        <w:rPr>
          <w:rFonts w:eastAsiaTheme="minorHAnsi" w:cstheme="minorHAnsi"/>
          <w:sz w:val="20"/>
          <w:szCs w:val="20"/>
        </w:rPr>
        <w:t xml:space="preserve"> i sufinanciranje fotonaponskih elektrana</w:t>
      </w:r>
      <w:r>
        <w:rPr>
          <w:rFonts w:eastAsiaTheme="minorHAnsi" w:cstheme="minorHAnsi"/>
          <w:sz w:val="20"/>
          <w:szCs w:val="20"/>
        </w:rPr>
        <w:t xml:space="preserve">. Od planiranih </w:t>
      </w:r>
      <w:r w:rsidR="004B180C">
        <w:rPr>
          <w:rFonts w:eastAsiaTheme="minorHAnsi" w:cstheme="minorHAnsi"/>
          <w:sz w:val="20"/>
          <w:szCs w:val="20"/>
        </w:rPr>
        <w:t>245.000</w:t>
      </w:r>
      <w:r>
        <w:rPr>
          <w:rFonts w:eastAsiaTheme="minorHAnsi" w:cstheme="minorHAnsi"/>
          <w:sz w:val="20"/>
          <w:szCs w:val="20"/>
        </w:rPr>
        <w:t xml:space="preserve">,00 eura utrošeno je </w:t>
      </w:r>
      <w:r w:rsidR="004B180C">
        <w:rPr>
          <w:rFonts w:eastAsiaTheme="minorHAnsi" w:cstheme="minorHAnsi"/>
          <w:sz w:val="20"/>
          <w:szCs w:val="20"/>
        </w:rPr>
        <w:t>74.570,99 eura</w:t>
      </w:r>
      <w:r>
        <w:rPr>
          <w:rFonts w:eastAsiaTheme="minorHAnsi" w:cstheme="minorHAnsi"/>
          <w:sz w:val="20"/>
          <w:szCs w:val="20"/>
        </w:rPr>
        <w:t xml:space="preserve"> ili </w:t>
      </w:r>
      <w:r w:rsidR="004B180C">
        <w:rPr>
          <w:rFonts w:eastAsiaTheme="minorHAnsi" w:cstheme="minorHAnsi"/>
          <w:sz w:val="20"/>
          <w:szCs w:val="20"/>
        </w:rPr>
        <w:t>30</w:t>
      </w:r>
      <w:r>
        <w:rPr>
          <w:rFonts w:eastAsiaTheme="minorHAnsi" w:cstheme="minorHAnsi"/>
          <w:sz w:val="20"/>
          <w:szCs w:val="20"/>
        </w:rPr>
        <w:t>,</w:t>
      </w:r>
      <w:r w:rsidR="004B180C">
        <w:rPr>
          <w:rFonts w:eastAsiaTheme="minorHAnsi" w:cstheme="minorHAnsi"/>
          <w:sz w:val="20"/>
          <w:szCs w:val="20"/>
        </w:rPr>
        <w:t>44</w:t>
      </w:r>
      <w:r>
        <w:rPr>
          <w:rFonts w:eastAsiaTheme="minorHAnsi" w:cstheme="minorHAnsi"/>
          <w:sz w:val="20"/>
          <w:szCs w:val="20"/>
        </w:rPr>
        <w:t>% planiranog</w:t>
      </w:r>
      <w:r w:rsidR="004B180C">
        <w:rPr>
          <w:rFonts w:eastAsiaTheme="minorHAnsi" w:cstheme="minorHAnsi"/>
          <w:sz w:val="20"/>
          <w:szCs w:val="20"/>
        </w:rPr>
        <w:t>, od čega poticaji za uređenje nekretnina iznose 69.000,00 eura, a 5.570,99 eura je isplaćeno za sufinanciranje fotonaponskih elektrana</w:t>
      </w:r>
      <w:r>
        <w:rPr>
          <w:rFonts w:eastAsiaTheme="minorHAnsi" w:cstheme="minorHAnsi"/>
          <w:sz w:val="20"/>
          <w:szCs w:val="20"/>
        </w:rPr>
        <w:t xml:space="preserve">. </w:t>
      </w:r>
    </w:p>
    <w:p w14:paraId="282C1105" w14:textId="77777777" w:rsidR="001C4242" w:rsidRDefault="00000000">
      <w:pPr>
        <w:jc w:val="both"/>
        <w:rPr>
          <w:rFonts w:cstheme="minorHAnsi"/>
        </w:rPr>
      </w:pPr>
      <w:r>
        <w:rPr>
          <w:rFonts w:cstheme="minorHAnsi"/>
        </w:rPr>
        <w:tab/>
        <w:t>Cilj programa je smanjenje iseljavanja mladih obitelji iz Općine Štrigova i stvaranje povoljnog okruženja za dolazak mladih obitelji na područje Općine Štrigova. Pokazatelj rezultata je ostanak mladih obitelji u Općini Štrigova.</w:t>
      </w:r>
    </w:p>
    <w:p w14:paraId="3D95A84F" w14:textId="77777777" w:rsidR="001C4242" w:rsidRDefault="00000000">
      <w:pPr>
        <w:jc w:val="both"/>
        <w:rPr>
          <w:rFonts w:cstheme="minorHAnsi"/>
        </w:rPr>
      </w:pPr>
      <w:r>
        <w:rPr>
          <w:rFonts w:cstheme="minorHAnsi"/>
        </w:rPr>
        <w:tab/>
      </w:r>
    </w:p>
    <w:p w14:paraId="17145D6A" w14:textId="77777777" w:rsidR="001C4242" w:rsidRDefault="00000000">
      <w:pPr>
        <w:ind w:firstLine="708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PROGRAM 1018 FINANCIJSKI I FISKALNI POSLOVI</w:t>
      </w:r>
    </w:p>
    <w:p w14:paraId="03506595" w14:textId="77777777" w:rsidR="001C4242" w:rsidRDefault="00000000">
      <w:pPr>
        <w:ind w:firstLine="708"/>
        <w:jc w:val="both"/>
        <w:rPr>
          <w:rFonts w:cstheme="minorHAnsi"/>
          <w:b/>
          <w:bCs/>
        </w:rPr>
      </w:pPr>
      <w:r>
        <w:rPr>
          <w:rFonts w:cstheme="minorHAnsi"/>
        </w:rPr>
        <w:t>U okviru navedenog programa u izvještajnom razdoblju nije bilo rashoda.</w:t>
      </w:r>
      <w:r>
        <w:rPr>
          <w:rFonts w:cstheme="minorHAnsi"/>
          <w:b/>
          <w:bCs/>
        </w:rPr>
        <w:t xml:space="preserve"> </w:t>
      </w:r>
    </w:p>
    <w:p w14:paraId="7512685C" w14:textId="77777777" w:rsidR="00171C2F" w:rsidRPr="00171C2F" w:rsidRDefault="00171C2F">
      <w:pPr>
        <w:jc w:val="both"/>
        <w:rPr>
          <w:rFonts w:cstheme="minorHAnsi"/>
          <w:b/>
          <w:sz w:val="16"/>
          <w:szCs w:val="16"/>
        </w:rPr>
      </w:pPr>
    </w:p>
    <w:p w14:paraId="26B49489" w14:textId="7555BBCC" w:rsidR="001C4242" w:rsidRDefault="00000000">
      <w:pPr>
        <w:jc w:val="both"/>
        <w:rPr>
          <w:rFonts w:cstheme="minorHAnsi"/>
          <w:b/>
        </w:rPr>
      </w:pPr>
      <w:r>
        <w:rPr>
          <w:rFonts w:cstheme="minorHAnsi"/>
          <w:b/>
        </w:rPr>
        <w:t>4. IZVJEŠTAJ O KORIŠTENJU PRORAČUNSKE ZALIHE</w:t>
      </w:r>
    </w:p>
    <w:p w14:paraId="78B30D8E" w14:textId="77777777" w:rsidR="001C4242" w:rsidRDefault="00000000">
      <w:pPr>
        <w:jc w:val="both"/>
        <w:rPr>
          <w:rFonts w:cstheme="minorHAnsi"/>
        </w:rPr>
      </w:pPr>
      <w:r>
        <w:rPr>
          <w:rFonts w:cstheme="minorHAnsi"/>
        </w:rPr>
        <w:t>Tijekom izvještajnog razdoblja Općina nije koristila proračunsku zalihu.</w:t>
      </w:r>
    </w:p>
    <w:p w14:paraId="3EF792F0" w14:textId="77777777" w:rsidR="004B180C" w:rsidRPr="00A47339" w:rsidRDefault="004B180C">
      <w:pPr>
        <w:jc w:val="both"/>
        <w:rPr>
          <w:rFonts w:cstheme="minorHAnsi"/>
          <w:b/>
          <w:sz w:val="16"/>
          <w:szCs w:val="16"/>
        </w:rPr>
      </w:pPr>
    </w:p>
    <w:p w14:paraId="325A7988" w14:textId="3C205206" w:rsidR="001C4242" w:rsidRDefault="00000000">
      <w:pPr>
        <w:jc w:val="both"/>
        <w:rPr>
          <w:rFonts w:cstheme="minorHAnsi"/>
          <w:b/>
        </w:rPr>
      </w:pPr>
      <w:r>
        <w:rPr>
          <w:rFonts w:cstheme="minorHAnsi"/>
          <w:b/>
        </w:rPr>
        <w:t>5. IZVJEŠTAJ O ZADUŽIVANJU NA DOMAĆEM I STRANOM TRŽIŠTU NOVCA I KAPITALA</w:t>
      </w:r>
    </w:p>
    <w:p w14:paraId="70D81CB0" w14:textId="7B0C678F" w:rsidR="004B180C" w:rsidRPr="000B7CAF" w:rsidRDefault="004B180C">
      <w:pPr>
        <w:jc w:val="both"/>
        <w:rPr>
          <w:rFonts w:cstheme="minorHAnsi"/>
          <w:bCs/>
        </w:rPr>
      </w:pPr>
      <w:r w:rsidRPr="000B7CAF">
        <w:rPr>
          <w:rFonts w:cstheme="minorHAnsi"/>
          <w:bCs/>
        </w:rPr>
        <w:t>Općina Štrigova se u izvještajnom razdoblju nije zaduživala</w:t>
      </w:r>
      <w:r w:rsidR="000B7CAF" w:rsidRPr="000B7CAF">
        <w:rPr>
          <w:rFonts w:cstheme="minorHAnsi"/>
          <w:bCs/>
        </w:rPr>
        <w:t>.</w:t>
      </w:r>
      <w:r w:rsidRPr="000B7CAF">
        <w:rPr>
          <w:rFonts w:cstheme="minorHAnsi"/>
          <w:bCs/>
        </w:rPr>
        <w:t xml:space="preserve"> </w:t>
      </w:r>
    </w:p>
    <w:p w14:paraId="5967A4EE" w14:textId="77777777" w:rsidR="004B180C" w:rsidRPr="00A47339" w:rsidRDefault="004B180C">
      <w:pPr>
        <w:jc w:val="both"/>
        <w:rPr>
          <w:rFonts w:cstheme="minorHAnsi"/>
          <w:b/>
          <w:sz w:val="16"/>
          <w:szCs w:val="16"/>
        </w:rPr>
      </w:pPr>
    </w:p>
    <w:p w14:paraId="0C327E19" w14:textId="2DD181A7" w:rsidR="001C4242" w:rsidRDefault="00000000">
      <w:pPr>
        <w:jc w:val="both"/>
        <w:rPr>
          <w:rFonts w:cstheme="minorHAnsi"/>
          <w:b/>
        </w:rPr>
      </w:pPr>
      <w:r>
        <w:rPr>
          <w:rFonts w:cstheme="minorHAnsi"/>
          <w:b/>
        </w:rPr>
        <w:t>6. IZVJEŠTAJ O DANIM JAMSTVIMA I PLAĆANJIMA PO PROTESTIRANIM JAMSTVIMA</w:t>
      </w:r>
    </w:p>
    <w:p w14:paraId="081C3F4E" w14:textId="2CB527BA" w:rsidR="001C4242" w:rsidRDefault="00000000">
      <w:pPr>
        <w:jc w:val="both"/>
        <w:rPr>
          <w:rFonts w:cstheme="minorHAnsi"/>
        </w:rPr>
      </w:pPr>
      <w:r>
        <w:rPr>
          <w:rFonts w:cstheme="minorHAnsi"/>
        </w:rPr>
        <w:t>Stanje obveza po danim jamstvima iskazanim u vanbilančnoj evidenciji na početku proračunske godine, tj. na dan 01.01.202</w:t>
      </w:r>
      <w:r w:rsidR="00A47339">
        <w:rPr>
          <w:rFonts w:cstheme="minorHAnsi"/>
        </w:rPr>
        <w:t>4</w:t>
      </w:r>
      <w:r>
        <w:rPr>
          <w:rFonts w:cstheme="minorHAnsi"/>
        </w:rPr>
        <w:t xml:space="preserve">. iznosilo je </w:t>
      </w:r>
      <w:r w:rsidR="00A47339">
        <w:rPr>
          <w:rFonts w:cstheme="minorHAnsi"/>
        </w:rPr>
        <w:t>261.906,27</w:t>
      </w:r>
      <w:r>
        <w:rPr>
          <w:rFonts w:cstheme="minorHAnsi"/>
        </w:rPr>
        <w:t xml:space="preserve"> eura, a na kraju izvještajnog razdoblja, tj. na dan 30.06.202</w:t>
      </w:r>
      <w:r w:rsidR="00A47339">
        <w:rPr>
          <w:rFonts w:cstheme="minorHAnsi"/>
        </w:rPr>
        <w:t>4</w:t>
      </w:r>
      <w:r>
        <w:rPr>
          <w:rFonts w:cstheme="minorHAnsi"/>
        </w:rPr>
        <w:t>. iznosilo je</w:t>
      </w:r>
      <w:r w:rsidR="00E363CB">
        <w:rPr>
          <w:rFonts w:cstheme="minorHAnsi"/>
        </w:rPr>
        <w:t xml:space="preserve"> 1.226.010,92</w:t>
      </w:r>
      <w:r>
        <w:rPr>
          <w:rFonts w:cstheme="minorHAnsi"/>
        </w:rPr>
        <w:t xml:space="preserve"> eura.</w:t>
      </w:r>
    </w:p>
    <w:p w14:paraId="09C3186C" w14:textId="77777777" w:rsidR="00A47339" w:rsidRDefault="00A47339" w:rsidP="00A47339">
      <w:pPr>
        <w:jc w:val="both"/>
        <w:rPr>
          <w:rFonts w:cstheme="minorHAnsi"/>
        </w:rPr>
      </w:pPr>
      <w:r w:rsidRPr="004C207F">
        <w:rPr>
          <w:rFonts w:cstheme="minorHAnsi"/>
        </w:rPr>
        <w:t>Pregled danih jamstava:</w:t>
      </w:r>
    </w:p>
    <w:tbl>
      <w:tblPr>
        <w:tblW w:w="14601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1134"/>
        <w:gridCol w:w="1559"/>
        <w:gridCol w:w="1559"/>
        <w:gridCol w:w="2694"/>
        <w:gridCol w:w="1842"/>
        <w:gridCol w:w="2835"/>
        <w:gridCol w:w="993"/>
        <w:gridCol w:w="1275"/>
      </w:tblGrid>
      <w:tr w:rsidR="00A47339" w:rsidRPr="004C207F" w14:paraId="04E3BF2D" w14:textId="77777777" w:rsidTr="00171C2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DE47C" w14:textId="77777777" w:rsidR="00A47339" w:rsidRPr="004C207F" w:rsidRDefault="00A47339" w:rsidP="00AC3B9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4C207F"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Red. broj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3594A" w14:textId="77777777" w:rsidR="00A47339" w:rsidRPr="004C207F" w:rsidRDefault="00A47339" w:rsidP="00AC3B9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4C207F"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Datum izdavanja jamstva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54978" w14:textId="77777777" w:rsidR="00A47339" w:rsidRPr="004C207F" w:rsidRDefault="00A47339" w:rsidP="00AC3B9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4C207F"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 xml:space="preserve">Instrument osiguranja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05569" w14:textId="77777777" w:rsidR="00A47339" w:rsidRPr="004C207F" w:rsidRDefault="00A47339" w:rsidP="00AC3B9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4C207F"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Iznos danog jamstva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98EAA" w14:textId="77777777" w:rsidR="00A47339" w:rsidRPr="004C207F" w:rsidRDefault="00A47339" w:rsidP="00AC3B9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4C207F"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 xml:space="preserve">Primatelj jamstva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2CA5A" w14:textId="77777777" w:rsidR="00A47339" w:rsidRPr="004C207F" w:rsidRDefault="00A47339" w:rsidP="00AC3B9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4C207F"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Namjena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9BA30" w14:textId="77777777" w:rsidR="00A47339" w:rsidRPr="004C207F" w:rsidRDefault="00A47339" w:rsidP="00AC3B9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4C207F"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Dokument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88599" w14:textId="77777777" w:rsidR="00A47339" w:rsidRPr="004C207F" w:rsidRDefault="00A47339" w:rsidP="00AC3B9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4C207F"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Rok važenja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A2756" w14:textId="77777777" w:rsidR="00A47339" w:rsidRPr="004C207F" w:rsidRDefault="00A47339" w:rsidP="00AC3B98">
            <w:pPr>
              <w:widowControl w:val="0"/>
              <w:suppressAutoHyphens/>
              <w:autoSpaceDN w:val="0"/>
              <w:spacing w:after="0" w:line="240" w:lineRule="auto"/>
              <w:ind w:right="35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4C207F"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Napomena</w:t>
            </w:r>
          </w:p>
        </w:tc>
      </w:tr>
      <w:tr w:rsidR="00A47339" w:rsidRPr="004C207F" w14:paraId="54F8927D" w14:textId="77777777" w:rsidTr="00171C2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9C5EA" w14:textId="77777777" w:rsidR="00A47339" w:rsidRPr="004C207F" w:rsidRDefault="00A47339" w:rsidP="00AC3B9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4C207F"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1.</w:t>
            </w:r>
          </w:p>
          <w:p w14:paraId="4D9A6E0F" w14:textId="77777777" w:rsidR="00A47339" w:rsidRPr="004C207F" w:rsidRDefault="00A47339" w:rsidP="00AC3B9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</w:p>
          <w:p w14:paraId="387D1D4D" w14:textId="77777777" w:rsidR="00A47339" w:rsidRPr="004C207F" w:rsidRDefault="00A47339" w:rsidP="00AC3B9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9E35F" w14:textId="77777777" w:rsidR="00A47339" w:rsidRPr="004C207F" w:rsidRDefault="00A47339" w:rsidP="00AC3B9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4C207F"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02.05.2017.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48987" w14:textId="77777777" w:rsidR="00A47339" w:rsidRPr="004C207F" w:rsidRDefault="00A47339" w:rsidP="00AC3B9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4C207F"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Obična zadužnica</w:t>
            </w:r>
          </w:p>
          <w:p w14:paraId="1F4CEDF7" w14:textId="77777777" w:rsidR="00A47339" w:rsidRPr="004C207F" w:rsidRDefault="00A47339" w:rsidP="00AC3B9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4C207F"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0V-4129/17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1E230" w14:textId="77777777" w:rsidR="00A47339" w:rsidRPr="004C207F" w:rsidRDefault="00A47339" w:rsidP="00AC3B98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4C207F"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3.384,43 EUR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F33E4" w14:textId="77777777" w:rsidR="00A47339" w:rsidRPr="004C207F" w:rsidRDefault="00A47339" w:rsidP="00AC3B9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4C207F"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Međimurske vode d.o.o. Čakovec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66D40" w14:textId="77777777" w:rsidR="00A47339" w:rsidRPr="004C207F" w:rsidRDefault="00A47339" w:rsidP="00AC3B9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4C207F"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Jamstvo po Sporazumu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9E54C" w14:textId="77777777" w:rsidR="00A47339" w:rsidRPr="004C207F" w:rsidRDefault="00A47339" w:rsidP="00AC3B9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4C207F"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 xml:space="preserve">Sporazum – Izgradnja produžetka vodovoda u Sv. Urbanu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E8588" w14:textId="77777777" w:rsidR="00A47339" w:rsidRPr="004C207F" w:rsidRDefault="00A47339" w:rsidP="00AC3B9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55B9F" w14:textId="77777777" w:rsidR="00A47339" w:rsidRPr="004C207F" w:rsidRDefault="00A47339" w:rsidP="00AC3B9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A47339" w:rsidRPr="004C207F" w14:paraId="3FCF043D" w14:textId="77777777" w:rsidTr="00171C2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8BA4C" w14:textId="77777777" w:rsidR="00A47339" w:rsidRPr="004C207F" w:rsidRDefault="00A47339" w:rsidP="00AC3B9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4C207F"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2.</w:t>
            </w:r>
          </w:p>
          <w:p w14:paraId="52AFDD3C" w14:textId="77777777" w:rsidR="00A47339" w:rsidRPr="004C207F" w:rsidRDefault="00A47339" w:rsidP="00AC3B9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</w:p>
          <w:p w14:paraId="3FC728A7" w14:textId="77777777" w:rsidR="00A47339" w:rsidRPr="004C207F" w:rsidRDefault="00A47339" w:rsidP="00AC3B9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F710C" w14:textId="77777777" w:rsidR="00A47339" w:rsidRPr="004C207F" w:rsidRDefault="00A47339" w:rsidP="00AC3B9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4C207F"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07.08.2017.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0C629" w14:textId="77777777" w:rsidR="00A47339" w:rsidRPr="004C207F" w:rsidRDefault="00A47339" w:rsidP="00AC3B9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4C207F"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Obična zadužnica</w:t>
            </w:r>
          </w:p>
          <w:p w14:paraId="11CEBC7C" w14:textId="77777777" w:rsidR="00A47339" w:rsidRPr="004C207F" w:rsidRDefault="00A47339" w:rsidP="00AC3B9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4C207F"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OV-7717/17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18D41" w14:textId="77777777" w:rsidR="00A47339" w:rsidRPr="004C207F" w:rsidRDefault="00A47339" w:rsidP="00AC3B98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4C207F"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1.327,23 EUR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4D6E5" w14:textId="77777777" w:rsidR="00A47339" w:rsidRPr="004C207F" w:rsidRDefault="00A47339" w:rsidP="00AC3B9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4C207F"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INA d.d. Zagreb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4F8B0" w14:textId="77777777" w:rsidR="00A47339" w:rsidRPr="004C207F" w:rsidRDefault="00A47339" w:rsidP="00AC3B9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4C207F"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Jamstvo po Ugovoru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56E8C" w14:textId="77777777" w:rsidR="00A47339" w:rsidRPr="004C207F" w:rsidRDefault="00A47339" w:rsidP="00AC3B9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4C207F"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Ugovor – INA kartica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EDF61" w14:textId="77777777" w:rsidR="00A47339" w:rsidRPr="004C207F" w:rsidRDefault="00A47339" w:rsidP="00AC3B9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C6302" w14:textId="77777777" w:rsidR="00A47339" w:rsidRPr="004C207F" w:rsidRDefault="00A47339" w:rsidP="00AC3B9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A47339" w:rsidRPr="004C207F" w14:paraId="53BC4731" w14:textId="77777777" w:rsidTr="00171C2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28110" w14:textId="77777777" w:rsidR="00A47339" w:rsidRPr="004C207F" w:rsidRDefault="00A47339" w:rsidP="00AC3B9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4C207F"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3.</w:t>
            </w:r>
          </w:p>
          <w:p w14:paraId="237E01AE" w14:textId="77777777" w:rsidR="00A47339" w:rsidRPr="004C207F" w:rsidRDefault="00A47339" w:rsidP="00AC3B9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</w:p>
          <w:p w14:paraId="341332E6" w14:textId="77777777" w:rsidR="00A47339" w:rsidRPr="004C207F" w:rsidRDefault="00A47339" w:rsidP="00AC3B9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46E5B" w14:textId="77777777" w:rsidR="00A47339" w:rsidRPr="004C207F" w:rsidRDefault="00A47339" w:rsidP="00AC3B9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4C207F"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28.02.2018.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A79DD" w14:textId="77777777" w:rsidR="00A47339" w:rsidRPr="004C207F" w:rsidRDefault="00A47339" w:rsidP="00AC3B9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4C207F"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Obična zadužnica</w:t>
            </w:r>
          </w:p>
          <w:p w14:paraId="16020734" w14:textId="77777777" w:rsidR="00A47339" w:rsidRPr="004C207F" w:rsidRDefault="00A47339" w:rsidP="00AC3B9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4C207F"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OV-1481/2018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B094A" w14:textId="77777777" w:rsidR="00A47339" w:rsidRPr="004C207F" w:rsidRDefault="00A47339" w:rsidP="00AC3B98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4C207F"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10.012,29 EUR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04CF2" w14:textId="77777777" w:rsidR="00A47339" w:rsidRPr="004C207F" w:rsidRDefault="00A47339" w:rsidP="00AC3B9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4C207F"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Međimurske vode d.o.o.</w:t>
            </w:r>
          </w:p>
          <w:p w14:paraId="3294E3CA" w14:textId="77777777" w:rsidR="00A47339" w:rsidRPr="004C207F" w:rsidRDefault="00A47339" w:rsidP="00AC3B9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4C207F"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Čakovec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38A3C" w14:textId="77777777" w:rsidR="00A47339" w:rsidRPr="004C207F" w:rsidRDefault="00A47339" w:rsidP="00AC3B9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4C207F"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Jamstvo po Sporazumu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AEF12" w14:textId="77777777" w:rsidR="00A47339" w:rsidRPr="004C207F" w:rsidRDefault="00A47339" w:rsidP="00AC3B9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4C207F"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Sporazum – produžetak vodovodne mreže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2661F" w14:textId="77777777" w:rsidR="00A47339" w:rsidRPr="004C207F" w:rsidRDefault="00A47339" w:rsidP="00AC3B9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49245" w14:textId="77777777" w:rsidR="00A47339" w:rsidRPr="004C207F" w:rsidRDefault="00A47339" w:rsidP="00AC3B9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A47339" w:rsidRPr="004C207F" w14:paraId="52885244" w14:textId="77777777" w:rsidTr="00171C2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78FBA" w14:textId="1A4BEBD3" w:rsidR="00A47339" w:rsidRPr="004C207F" w:rsidRDefault="00171C2F" w:rsidP="00AC3B9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bookmarkStart w:id="2" w:name="_Hlk145591066"/>
            <w:r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4</w:t>
            </w:r>
            <w:r w:rsidR="00A47339" w:rsidRPr="004C207F"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.</w:t>
            </w:r>
          </w:p>
          <w:p w14:paraId="7641C1D6" w14:textId="77777777" w:rsidR="00A47339" w:rsidRPr="004C207F" w:rsidRDefault="00A47339" w:rsidP="00AC3B9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</w:p>
          <w:p w14:paraId="53B624D4" w14:textId="77777777" w:rsidR="00A47339" w:rsidRPr="004C207F" w:rsidRDefault="00A47339" w:rsidP="00AC3B9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FBD0C" w14:textId="77777777" w:rsidR="00A47339" w:rsidRPr="004C207F" w:rsidRDefault="00A47339" w:rsidP="00AC3B9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4C207F"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22.01.2021.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43BA5" w14:textId="77777777" w:rsidR="00A47339" w:rsidRPr="004C207F" w:rsidRDefault="00A47339" w:rsidP="00AC3B9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4C207F"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Bjanko zadužnica</w:t>
            </w:r>
          </w:p>
          <w:p w14:paraId="19A0EAF5" w14:textId="77777777" w:rsidR="00A47339" w:rsidRPr="004C207F" w:rsidRDefault="00A47339" w:rsidP="00AC3B9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4C207F"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OV-625/2021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26D74" w14:textId="77777777" w:rsidR="00A47339" w:rsidRPr="004C207F" w:rsidRDefault="00A47339" w:rsidP="00AC3B98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4C207F"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66.361,40 EUR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DDAAC" w14:textId="77777777" w:rsidR="00A47339" w:rsidRPr="004C207F" w:rsidRDefault="00A47339" w:rsidP="00AC3B9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4C207F"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Ministarstvo prostornoga uređenja, graditeljstva i državne imovine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AE907" w14:textId="77777777" w:rsidR="00A47339" w:rsidRPr="004C207F" w:rsidRDefault="00A47339" w:rsidP="00AC3B9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4C207F"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Jamstvo po Ugovoru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A84A4" w14:textId="77777777" w:rsidR="00A47339" w:rsidRPr="004C207F" w:rsidRDefault="00A47339" w:rsidP="00AC3B9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4C207F"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 xml:space="preserve">Ugovor – Izgradnja nerazvrstane ceste u Sv. Urbanu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F4BEA" w14:textId="77777777" w:rsidR="00A47339" w:rsidRPr="004C207F" w:rsidRDefault="00A47339" w:rsidP="00AC3B9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01CA8" w14:textId="77777777" w:rsidR="00A47339" w:rsidRPr="004C207F" w:rsidRDefault="00A47339" w:rsidP="00AC3B9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A47339" w:rsidRPr="004C207F" w14:paraId="0F7328B8" w14:textId="77777777" w:rsidTr="00171C2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8D0A5" w14:textId="17B6B68A" w:rsidR="00A47339" w:rsidRPr="004C207F" w:rsidRDefault="00171C2F" w:rsidP="00AC3B9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bookmarkStart w:id="3" w:name="_Hlk176516535"/>
            <w:bookmarkEnd w:id="2"/>
            <w:r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lastRenderedPageBreak/>
              <w:t>5</w:t>
            </w:r>
            <w:r w:rsidR="00A47339" w:rsidRPr="004C207F"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.</w:t>
            </w:r>
          </w:p>
          <w:p w14:paraId="7CF930E4" w14:textId="77777777" w:rsidR="00A47339" w:rsidRPr="004C207F" w:rsidRDefault="00A47339" w:rsidP="00AC3B9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</w:p>
          <w:p w14:paraId="7ED58AB1" w14:textId="77777777" w:rsidR="00A47339" w:rsidRPr="004C207F" w:rsidRDefault="00A47339" w:rsidP="00AC3B9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6AFD8" w14:textId="77777777" w:rsidR="00A47339" w:rsidRPr="004C207F" w:rsidRDefault="00A47339" w:rsidP="00AC3B9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4C207F"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27.09.2022.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4E1F1" w14:textId="77777777" w:rsidR="00A47339" w:rsidRPr="004C207F" w:rsidRDefault="00A47339" w:rsidP="00AC3B9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4C207F"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Zadužnica</w:t>
            </w:r>
          </w:p>
          <w:p w14:paraId="785C8050" w14:textId="77777777" w:rsidR="00A47339" w:rsidRPr="004C207F" w:rsidRDefault="00A47339" w:rsidP="00AC3B9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4C207F"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OV-7716/2022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36BE2" w14:textId="77777777" w:rsidR="00A47339" w:rsidRPr="004C207F" w:rsidRDefault="00A47339" w:rsidP="00AC3B98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4C207F"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36.946,71 EUR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E8973" w14:textId="77777777" w:rsidR="00A47339" w:rsidRPr="004C207F" w:rsidRDefault="00A47339" w:rsidP="00AC3B9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4C207F"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Međimurske vode d.o.o.</w:t>
            </w:r>
          </w:p>
          <w:p w14:paraId="072C0481" w14:textId="77777777" w:rsidR="00A47339" w:rsidRPr="004C207F" w:rsidRDefault="00A47339" w:rsidP="00AC3B9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4C207F"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Čakovec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588ED" w14:textId="77777777" w:rsidR="00A47339" w:rsidRPr="004C207F" w:rsidRDefault="00A47339" w:rsidP="00AC3B9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4C207F"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Jamstvo po Sporazumu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2D18D" w14:textId="77777777" w:rsidR="00A47339" w:rsidRPr="004C207F" w:rsidRDefault="00A47339" w:rsidP="00AC3B9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4C207F"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Sporazum – Izgradnja produžetka vodovodne mreže u Štrigovi, uz D227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DE5D0" w14:textId="77777777" w:rsidR="00A47339" w:rsidRPr="004C207F" w:rsidRDefault="00A47339" w:rsidP="00AC3B9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6435E" w14:textId="77777777" w:rsidR="00A47339" w:rsidRPr="004C207F" w:rsidRDefault="00A47339" w:rsidP="00AC3B9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</w:p>
        </w:tc>
      </w:tr>
      <w:bookmarkEnd w:id="3"/>
      <w:tr w:rsidR="00A47339" w:rsidRPr="004C207F" w14:paraId="5E34A342" w14:textId="77777777" w:rsidTr="00171C2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DDDD4" w14:textId="3926C234" w:rsidR="00A47339" w:rsidRPr="004C207F" w:rsidRDefault="00171C2F" w:rsidP="00AC3B9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6</w:t>
            </w:r>
            <w:r w:rsidR="00A47339" w:rsidRPr="004C207F"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.</w:t>
            </w:r>
          </w:p>
          <w:p w14:paraId="7363F6B0" w14:textId="77777777" w:rsidR="00A47339" w:rsidRPr="004C207F" w:rsidRDefault="00A47339" w:rsidP="00AC3B9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</w:p>
          <w:p w14:paraId="5CFBB49F" w14:textId="77777777" w:rsidR="00A47339" w:rsidRPr="004C207F" w:rsidRDefault="00A47339" w:rsidP="00AC3B9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D2D2D" w14:textId="77777777" w:rsidR="00A47339" w:rsidRPr="004C207F" w:rsidRDefault="00A47339" w:rsidP="00AC3B9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4C207F"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07.03.2023.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AE307" w14:textId="77777777" w:rsidR="00A47339" w:rsidRPr="004C207F" w:rsidRDefault="00A47339" w:rsidP="00AC3B9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4C207F"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Zadužnica</w:t>
            </w:r>
          </w:p>
          <w:p w14:paraId="1874488E" w14:textId="77777777" w:rsidR="00A47339" w:rsidRPr="004C207F" w:rsidRDefault="00A47339" w:rsidP="00AC3B9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4C207F"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OV-2166/2023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02E3A" w14:textId="77777777" w:rsidR="00A47339" w:rsidRPr="004C207F" w:rsidRDefault="00A47339" w:rsidP="00AC3B98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4C207F"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2.512,81 EUR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A3B37" w14:textId="77777777" w:rsidR="00A47339" w:rsidRPr="004C207F" w:rsidRDefault="00A47339" w:rsidP="00AC3B9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4C207F"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Međimurske vode d.o.o.</w:t>
            </w:r>
          </w:p>
          <w:p w14:paraId="344E8625" w14:textId="77777777" w:rsidR="00A47339" w:rsidRPr="004C207F" w:rsidRDefault="00A47339" w:rsidP="00AC3B9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4C207F"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Čakovec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D1920" w14:textId="77777777" w:rsidR="00A47339" w:rsidRPr="004C207F" w:rsidRDefault="00A47339" w:rsidP="00AC3B9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4C207F"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Jamstvo po Sporazumu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9B8BE" w14:textId="77777777" w:rsidR="00A47339" w:rsidRPr="004C207F" w:rsidRDefault="00A47339" w:rsidP="00AC3B9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4C207F"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 xml:space="preserve">Sporazum – Izgradnja produžetka vodovodne mreže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11BE1" w14:textId="77777777" w:rsidR="00A47339" w:rsidRPr="004C207F" w:rsidRDefault="00A47339" w:rsidP="00AC3B9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74BD3" w14:textId="77777777" w:rsidR="00A47339" w:rsidRPr="004C207F" w:rsidRDefault="00A47339" w:rsidP="00AC3B9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A47339" w:rsidRPr="004C207F" w14:paraId="25A30FA4" w14:textId="77777777" w:rsidTr="00171C2F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8115E" w14:textId="3D2CF7A8" w:rsidR="00A47339" w:rsidRPr="004C207F" w:rsidRDefault="00171C2F" w:rsidP="00AC3B9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7</w:t>
            </w:r>
            <w:r w:rsidR="00A47339" w:rsidRPr="004C207F"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.</w:t>
            </w:r>
          </w:p>
          <w:p w14:paraId="476EF653" w14:textId="77777777" w:rsidR="00A47339" w:rsidRPr="004C207F" w:rsidRDefault="00A47339" w:rsidP="00AC3B9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</w:p>
          <w:p w14:paraId="06ECAA51" w14:textId="77777777" w:rsidR="00A47339" w:rsidRPr="004C207F" w:rsidRDefault="00A47339" w:rsidP="00AC3B9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EA8F0" w14:textId="77777777" w:rsidR="00A47339" w:rsidRPr="004C207F" w:rsidRDefault="00A47339" w:rsidP="00AC3B9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4C207F"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02.06.2023.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3CBEB" w14:textId="77777777" w:rsidR="00A47339" w:rsidRPr="004C207F" w:rsidRDefault="00A47339" w:rsidP="00AC3B9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4C207F"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Bjanko zadužnica</w:t>
            </w:r>
          </w:p>
          <w:p w14:paraId="20A2A9D9" w14:textId="77777777" w:rsidR="00A47339" w:rsidRPr="004C207F" w:rsidRDefault="00A47339" w:rsidP="00AC3B9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4C207F"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OV-1133/2023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ABB82" w14:textId="77777777" w:rsidR="00A47339" w:rsidRPr="004C207F" w:rsidRDefault="00A47339" w:rsidP="00AC3B98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4C207F"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75.000,00 EUR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81D42" w14:textId="77777777" w:rsidR="00A47339" w:rsidRPr="004C207F" w:rsidRDefault="00A47339" w:rsidP="00AC3B9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4C207F"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Ministarstvo prostornoga uređenja, graditeljstva i državne imovine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714D7" w14:textId="77777777" w:rsidR="00A47339" w:rsidRPr="004C207F" w:rsidRDefault="00A47339" w:rsidP="00AC3B9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4C207F"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Jamstvo po Ugovoru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747DC" w14:textId="77777777" w:rsidR="00A47339" w:rsidRPr="004C207F" w:rsidRDefault="00A47339" w:rsidP="00AC3B9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4C207F"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 xml:space="preserve">Ugovor – Izgradnja prometnice s oborinskom odvodnjom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CA5E8" w14:textId="77777777" w:rsidR="00A47339" w:rsidRPr="004C207F" w:rsidRDefault="00A47339" w:rsidP="00AC3B9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566BC" w14:textId="77777777" w:rsidR="00A47339" w:rsidRPr="004C207F" w:rsidRDefault="00A47339" w:rsidP="00AC3B9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171C2F" w:rsidRPr="004C207F" w14:paraId="75AD0738" w14:textId="77777777" w:rsidTr="00E363CB">
        <w:trPr>
          <w:trHeight w:val="66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2465B" w14:textId="20D05695" w:rsidR="00171C2F" w:rsidRPr="004C207F" w:rsidRDefault="00171C2F" w:rsidP="00AC3B9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8</w:t>
            </w:r>
            <w:r w:rsidRPr="004C207F"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.</w:t>
            </w:r>
          </w:p>
          <w:p w14:paraId="7131FFF3" w14:textId="77777777" w:rsidR="00171C2F" w:rsidRPr="004C207F" w:rsidRDefault="00171C2F" w:rsidP="00AC3B9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</w:p>
          <w:p w14:paraId="263506E3" w14:textId="77777777" w:rsidR="00171C2F" w:rsidRPr="004C207F" w:rsidRDefault="00171C2F" w:rsidP="00AC3B9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604CF" w14:textId="225AC3BE" w:rsidR="00171C2F" w:rsidRPr="004C207F" w:rsidRDefault="00171C2F" w:rsidP="00AC3B9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24</w:t>
            </w:r>
            <w:r w:rsidRPr="004C207F"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.0</w:t>
            </w:r>
            <w:r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1</w:t>
            </w:r>
            <w:r w:rsidRPr="004C207F"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.202</w:t>
            </w:r>
            <w:r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4</w:t>
            </w:r>
            <w:r w:rsidRPr="004C207F"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36AF2" w14:textId="77777777" w:rsidR="00171C2F" w:rsidRPr="004C207F" w:rsidRDefault="00171C2F" w:rsidP="00AC3B9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4C207F"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Zadužnica</w:t>
            </w:r>
          </w:p>
          <w:p w14:paraId="342A6F0D" w14:textId="4E691B5E" w:rsidR="00171C2F" w:rsidRPr="004C207F" w:rsidRDefault="00171C2F" w:rsidP="00AC3B9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4C207F"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OV-7</w:t>
            </w:r>
            <w:r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17</w:t>
            </w:r>
            <w:r w:rsidRPr="004C207F"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/202</w:t>
            </w:r>
            <w:r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314D8" w14:textId="487ED943" w:rsidR="00171C2F" w:rsidRPr="004C207F" w:rsidRDefault="00171C2F" w:rsidP="00AC3B98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2</w:t>
            </w:r>
            <w:r w:rsidRPr="004C207F"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.</w:t>
            </w:r>
            <w:r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443</w:t>
            </w:r>
            <w:r w:rsidRPr="004C207F"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,</w:t>
            </w:r>
            <w:r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75</w:t>
            </w:r>
            <w:r w:rsidRPr="004C207F"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 xml:space="preserve"> EUR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39B7B" w14:textId="77777777" w:rsidR="00171C2F" w:rsidRPr="004C207F" w:rsidRDefault="00171C2F" w:rsidP="00AC3B9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4C207F"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Međimurske vode d.o.o.</w:t>
            </w:r>
          </w:p>
          <w:p w14:paraId="00207E93" w14:textId="77777777" w:rsidR="00171C2F" w:rsidRPr="004C207F" w:rsidRDefault="00171C2F" w:rsidP="00AC3B9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4C207F"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Čakovec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48C6A" w14:textId="77777777" w:rsidR="00171C2F" w:rsidRPr="004C207F" w:rsidRDefault="00171C2F" w:rsidP="00AC3B9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4C207F"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Jamstvo po Sporazumu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640FD" w14:textId="77777777" w:rsidR="00171C2F" w:rsidRDefault="00171C2F" w:rsidP="00AC3B9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4C207F"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 xml:space="preserve">Sporazum – </w:t>
            </w:r>
            <w:r w:rsidR="00E363CB"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Produžetak vodovodne mreže u Štrigovi</w:t>
            </w:r>
          </w:p>
          <w:p w14:paraId="38ABB57F" w14:textId="0816C7C7" w:rsidR="00E363CB" w:rsidRPr="004C207F" w:rsidRDefault="00E363CB" w:rsidP="00AC3B9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E9C15" w14:textId="77777777" w:rsidR="00171C2F" w:rsidRPr="004C207F" w:rsidRDefault="00171C2F" w:rsidP="00AC3B9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6AE63" w14:textId="77777777" w:rsidR="00171C2F" w:rsidRPr="004C207F" w:rsidRDefault="00171C2F" w:rsidP="00AC3B9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3B06EC" w:rsidRPr="004C207F" w14:paraId="3B9BA6CA" w14:textId="77777777" w:rsidTr="00AC3B9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8F5DD" w14:textId="77777777" w:rsidR="003B06EC" w:rsidRPr="004C207F" w:rsidRDefault="003B06EC" w:rsidP="00AC3B9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9</w:t>
            </w:r>
            <w:r w:rsidRPr="004C207F"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.</w:t>
            </w:r>
          </w:p>
          <w:p w14:paraId="48CCFF45" w14:textId="77777777" w:rsidR="003B06EC" w:rsidRPr="004C207F" w:rsidRDefault="003B06EC" w:rsidP="00AC3B9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</w:p>
          <w:p w14:paraId="7B69C7B0" w14:textId="77777777" w:rsidR="003B06EC" w:rsidRPr="004C207F" w:rsidRDefault="003B06EC" w:rsidP="00AC3B9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EB209" w14:textId="77777777" w:rsidR="003B06EC" w:rsidRPr="004C207F" w:rsidRDefault="003B06EC" w:rsidP="00AC3B9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 xml:space="preserve">28.03.2024.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0C9ED" w14:textId="77777777" w:rsidR="003B06EC" w:rsidRPr="004C207F" w:rsidRDefault="003B06EC" w:rsidP="00AC3B9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Zadužnica OV-2738/2024.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F6DF3" w14:textId="77777777" w:rsidR="003B06EC" w:rsidRPr="004C207F" w:rsidRDefault="003B06EC" w:rsidP="00AC3B98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624.283,83 EUR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9EFD9" w14:textId="77777777" w:rsidR="003B06EC" w:rsidRPr="004C207F" w:rsidRDefault="003B06EC" w:rsidP="00AC3B9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4C207F"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Međimurske vode d.o.o.</w:t>
            </w:r>
          </w:p>
          <w:p w14:paraId="2FD3393D" w14:textId="77777777" w:rsidR="003B06EC" w:rsidRPr="004C207F" w:rsidRDefault="003B06EC" w:rsidP="00AC3B9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4C207F"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Čakovec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7B818" w14:textId="77777777" w:rsidR="003B06EC" w:rsidRPr="004C207F" w:rsidRDefault="003B06EC" w:rsidP="00AC3B9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4C207F"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Jamstvo po Sporazumu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E4FE1" w14:textId="193B7DB4" w:rsidR="003B06EC" w:rsidRPr="004C207F" w:rsidRDefault="003B06EC" w:rsidP="00AC3B9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4C207F"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 xml:space="preserve">Sporazum – Izgradnja </w:t>
            </w:r>
            <w:r w:rsidR="004D6DE0"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kanalizacije naselja Štrigova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B3871" w14:textId="77777777" w:rsidR="003B06EC" w:rsidRPr="004C207F" w:rsidRDefault="003B06EC" w:rsidP="00AC3B9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10863" w14:textId="77777777" w:rsidR="003B06EC" w:rsidRPr="004C207F" w:rsidRDefault="003B06EC" w:rsidP="00AC3B9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</w:p>
        </w:tc>
      </w:tr>
      <w:tr w:rsidR="003B06EC" w:rsidRPr="004C207F" w14:paraId="2226E22F" w14:textId="77777777" w:rsidTr="00AC3B98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B2E30" w14:textId="401E4452" w:rsidR="003B06EC" w:rsidRPr="004C207F" w:rsidRDefault="003B06EC" w:rsidP="00AC3B9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10</w:t>
            </w:r>
            <w:r w:rsidRPr="004C207F"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.</w:t>
            </w:r>
          </w:p>
          <w:p w14:paraId="1057BB83" w14:textId="77777777" w:rsidR="003B06EC" w:rsidRPr="004C207F" w:rsidRDefault="003B06EC" w:rsidP="00AC3B9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</w:p>
          <w:p w14:paraId="10C13C6D" w14:textId="77777777" w:rsidR="003B06EC" w:rsidRPr="004C207F" w:rsidRDefault="003B06EC" w:rsidP="00AC3B9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7DF0A" w14:textId="77777777" w:rsidR="003B06EC" w:rsidRPr="004C207F" w:rsidRDefault="003B06EC" w:rsidP="00AC3B9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 xml:space="preserve">28.03.2024.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45A5F" w14:textId="197BB828" w:rsidR="003B06EC" w:rsidRPr="004C207F" w:rsidRDefault="003B06EC" w:rsidP="00AC3B9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Zadužnica OV-2739/2024.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BE340" w14:textId="03341F37" w:rsidR="003B06EC" w:rsidRPr="004C207F" w:rsidRDefault="003B06EC" w:rsidP="00AC3B98">
            <w:pPr>
              <w:widowControl w:val="0"/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403.738,47 EUR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9E7F1" w14:textId="77777777" w:rsidR="003B06EC" w:rsidRPr="004C207F" w:rsidRDefault="003B06EC" w:rsidP="00AC3B9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4C207F"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Međimurske vode d.o.o.</w:t>
            </w:r>
          </w:p>
          <w:p w14:paraId="0A13CC4A" w14:textId="77777777" w:rsidR="003B06EC" w:rsidRPr="004C207F" w:rsidRDefault="003B06EC" w:rsidP="00AC3B9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4C207F"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Čakovec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0EE27" w14:textId="77777777" w:rsidR="003B06EC" w:rsidRPr="004C207F" w:rsidRDefault="003B06EC" w:rsidP="00AC3B9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4C207F"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Jamstvo po Sporazumu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D1BA5" w14:textId="41842D00" w:rsidR="003B06EC" w:rsidRPr="004C207F" w:rsidRDefault="003B06EC" w:rsidP="00AC3B9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  <w:r w:rsidRPr="004C207F"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 xml:space="preserve">Sporazum – Izgradnja </w:t>
            </w:r>
            <w:r w:rsidR="004D6DE0"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  <w:t>uređaja za pročišćavanje otpadnih voda Štrigova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A5BBE" w14:textId="77777777" w:rsidR="003B06EC" w:rsidRPr="004C207F" w:rsidRDefault="003B06EC" w:rsidP="00AC3B9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E307D" w14:textId="77777777" w:rsidR="003B06EC" w:rsidRPr="004C207F" w:rsidRDefault="003B06EC" w:rsidP="00AC3B98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eastAsia="SimSun" w:cstheme="minorHAnsi"/>
                <w:b/>
                <w:bCs/>
                <w:kern w:val="3"/>
                <w:sz w:val="22"/>
                <w:szCs w:val="22"/>
                <w:lang w:eastAsia="zh-CN" w:bidi="hi-IN"/>
              </w:rPr>
            </w:pPr>
          </w:p>
        </w:tc>
      </w:tr>
    </w:tbl>
    <w:p w14:paraId="48BFF672" w14:textId="77777777" w:rsidR="003B06EC" w:rsidRDefault="003B06EC" w:rsidP="003B06EC">
      <w:pPr>
        <w:jc w:val="both"/>
        <w:rPr>
          <w:rFonts w:cstheme="minorHAnsi"/>
          <w:b/>
          <w:sz w:val="22"/>
          <w:szCs w:val="22"/>
        </w:rPr>
      </w:pPr>
    </w:p>
    <w:p w14:paraId="5D5A71B7" w14:textId="77777777" w:rsidR="003B06EC" w:rsidRDefault="003B06EC" w:rsidP="003B06EC">
      <w:pPr>
        <w:jc w:val="both"/>
        <w:rPr>
          <w:rFonts w:cstheme="minorHAnsi"/>
          <w:b/>
          <w:sz w:val="22"/>
          <w:szCs w:val="22"/>
        </w:rPr>
      </w:pPr>
    </w:p>
    <w:bookmarkEnd w:id="0"/>
    <w:p w14:paraId="4C30C24F" w14:textId="77777777" w:rsidR="001C4242" w:rsidRDefault="001C424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b/>
          <w:bCs/>
          <w:kern w:val="3"/>
          <w:sz w:val="16"/>
          <w:szCs w:val="16"/>
          <w:lang w:eastAsia="zh-CN" w:bidi="hi-IN"/>
        </w:rPr>
      </w:pPr>
    </w:p>
    <w:sectPr w:rsidR="001C4242" w:rsidSect="00171C2F">
      <w:footerReference w:type="default" r:id="rId10"/>
      <w:pgSz w:w="16838" w:h="11906" w:orient="landscape"/>
      <w:pgMar w:top="993" w:right="993" w:bottom="284" w:left="1134" w:header="454" w:footer="454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0E19DF" w14:textId="77777777" w:rsidR="006553CB" w:rsidRDefault="006553CB">
      <w:pPr>
        <w:spacing w:line="240" w:lineRule="auto"/>
      </w:pPr>
      <w:r>
        <w:separator/>
      </w:r>
    </w:p>
  </w:endnote>
  <w:endnote w:type="continuationSeparator" w:id="0">
    <w:p w14:paraId="11C9A95A" w14:textId="77777777" w:rsidR="006553CB" w:rsidRDefault="006553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24AEA0" w14:textId="77777777" w:rsidR="001C4242" w:rsidRDefault="00000000">
    <w:pPr>
      <w:pStyle w:val="Podnoje"/>
      <w:jc w:val="right"/>
    </w:pPr>
    <w:r>
      <w:fldChar w:fldCharType="begin"/>
    </w:r>
    <w:r>
      <w:instrText xml:space="preserve"> PAGE </w:instrText>
    </w:r>
    <w:r>
      <w:fldChar w:fldCharType="separate"/>
    </w:r>
    <w:r>
      <w:t>14</w:t>
    </w:r>
    <w:r>
      <w:fldChar w:fldCharType="end"/>
    </w:r>
  </w:p>
  <w:p w14:paraId="2C4BF4FC" w14:textId="77777777" w:rsidR="001C4242" w:rsidRDefault="001C424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E13ABA" w14:textId="77777777" w:rsidR="006553CB" w:rsidRDefault="006553CB">
      <w:pPr>
        <w:spacing w:after="0"/>
      </w:pPr>
      <w:r>
        <w:separator/>
      </w:r>
    </w:p>
  </w:footnote>
  <w:footnote w:type="continuationSeparator" w:id="0">
    <w:p w14:paraId="26874FFB" w14:textId="77777777" w:rsidR="006553CB" w:rsidRDefault="006553C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9C5D09"/>
    <w:multiLevelType w:val="multilevel"/>
    <w:tmpl w:val="5E9C5D09"/>
    <w:lvl w:ilvl="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021127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C57"/>
    <w:rsid w:val="000015E8"/>
    <w:rsid w:val="0000172D"/>
    <w:rsid w:val="00001C4E"/>
    <w:rsid w:val="0001002D"/>
    <w:rsid w:val="00014E78"/>
    <w:rsid w:val="00017082"/>
    <w:rsid w:val="00025E55"/>
    <w:rsid w:val="00025E75"/>
    <w:rsid w:val="00027733"/>
    <w:rsid w:val="000338B9"/>
    <w:rsid w:val="00034951"/>
    <w:rsid w:val="00042EED"/>
    <w:rsid w:val="00047734"/>
    <w:rsid w:val="0006336A"/>
    <w:rsid w:val="000646C4"/>
    <w:rsid w:val="00065746"/>
    <w:rsid w:val="0007379F"/>
    <w:rsid w:val="00080A43"/>
    <w:rsid w:val="000813D4"/>
    <w:rsid w:val="000921D2"/>
    <w:rsid w:val="0009291C"/>
    <w:rsid w:val="00096C11"/>
    <w:rsid w:val="00097D04"/>
    <w:rsid w:val="000A3C4C"/>
    <w:rsid w:val="000A405F"/>
    <w:rsid w:val="000A50A6"/>
    <w:rsid w:val="000B35BF"/>
    <w:rsid w:val="000B3EA1"/>
    <w:rsid w:val="000B7094"/>
    <w:rsid w:val="000B7CAF"/>
    <w:rsid w:val="000D6E68"/>
    <w:rsid w:val="000E45F0"/>
    <w:rsid w:val="000F037B"/>
    <w:rsid w:val="000F0B6D"/>
    <w:rsid w:val="00100704"/>
    <w:rsid w:val="0010485F"/>
    <w:rsid w:val="00106614"/>
    <w:rsid w:val="00114E8D"/>
    <w:rsid w:val="001227D8"/>
    <w:rsid w:val="00135149"/>
    <w:rsid w:val="001356FD"/>
    <w:rsid w:val="00137FF7"/>
    <w:rsid w:val="001427E7"/>
    <w:rsid w:val="00151E55"/>
    <w:rsid w:val="001523C8"/>
    <w:rsid w:val="00152BFE"/>
    <w:rsid w:val="001629E8"/>
    <w:rsid w:val="00163906"/>
    <w:rsid w:val="0016457C"/>
    <w:rsid w:val="00164919"/>
    <w:rsid w:val="00171C2F"/>
    <w:rsid w:val="00177E3D"/>
    <w:rsid w:val="001801CF"/>
    <w:rsid w:val="00184B3D"/>
    <w:rsid w:val="001875BD"/>
    <w:rsid w:val="00195E5A"/>
    <w:rsid w:val="001A5ACF"/>
    <w:rsid w:val="001A6BE9"/>
    <w:rsid w:val="001B407F"/>
    <w:rsid w:val="001B486C"/>
    <w:rsid w:val="001B4DDC"/>
    <w:rsid w:val="001C4242"/>
    <w:rsid w:val="001C5DCD"/>
    <w:rsid w:val="001C7D89"/>
    <w:rsid w:val="001D05E3"/>
    <w:rsid w:val="001F477B"/>
    <w:rsid w:val="001F5477"/>
    <w:rsid w:val="0020095F"/>
    <w:rsid w:val="00201324"/>
    <w:rsid w:val="002028C7"/>
    <w:rsid w:val="00204CE4"/>
    <w:rsid w:val="002146C9"/>
    <w:rsid w:val="00214778"/>
    <w:rsid w:val="00221E71"/>
    <w:rsid w:val="00222B3A"/>
    <w:rsid w:val="00232236"/>
    <w:rsid w:val="00242B73"/>
    <w:rsid w:val="00243908"/>
    <w:rsid w:val="002469AE"/>
    <w:rsid w:val="00247517"/>
    <w:rsid w:val="002523DE"/>
    <w:rsid w:val="00254561"/>
    <w:rsid w:val="00265EE0"/>
    <w:rsid w:val="00272F22"/>
    <w:rsid w:val="00287D69"/>
    <w:rsid w:val="002914D0"/>
    <w:rsid w:val="002928E5"/>
    <w:rsid w:val="002A1522"/>
    <w:rsid w:val="002A35EB"/>
    <w:rsid w:val="002A44E5"/>
    <w:rsid w:val="002A4B52"/>
    <w:rsid w:val="002C6C4B"/>
    <w:rsid w:val="002C78B3"/>
    <w:rsid w:val="002D110C"/>
    <w:rsid w:val="002E614C"/>
    <w:rsid w:val="002F37B4"/>
    <w:rsid w:val="002F5A9A"/>
    <w:rsid w:val="002F6385"/>
    <w:rsid w:val="00306DD2"/>
    <w:rsid w:val="00307742"/>
    <w:rsid w:val="00307AF7"/>
    <w:rsid w:val="00314ED6"/>
    <w:rsid w:val="00320CE8"/>
    <w:rsid w:val="0032189D"/>
    <w:rsid w:val="00326F19"/>
    <w:rsid w:val="00330726"/>
    <w:rsid w:val="00330E53"/>
    <w:rsid w:val="003339CE"/>
    <w:rsid w:val="003371DD"/>
    <w:rsid w:val="0034051F"/>
    <w:rsid w:val="00340B3C"/>
    <w:rsid w:val="00347415"/>
    <w:rsid w:val="00356CD2"/>
    <w:rsid w:val="00356CF7"/>
    <w:rsid w:val="00357B1A"/>
    <w:rsid w:val="00362731"/>
    <w:rsid w:val="00372EFC"/>
    <w:rsid w:val="00376A88"/>
    <w:rsid w:val="00377E0E"/>
    <w:rsid w:val="00385402"/>
    <w:rsid w:val="00385E18"/>
    <w:rsid w:val="00385FA4"/>
    <w:rsid w:val="003901ED"/>
    <w:rsid w:val="00393F25"/>
    <w:rsid w:val="00393F44"/>
    <w:rsid w:val="00396133"/>
    <w:rsid w:val="00397F5A"/>
    <w:rsid w:val="003A0D86"/>
    <w:rsid w:val="003A1231"/>
    <w:rsid w:val="003A1F0B"/>
    <w:rsid w:val="003A71B2"/>
    <w:rsid w:val="003A794B"/>
    <w:rsid w:val="003B06EC"/>
    <w:rsid w:val="003B0C97"/>
    <w:rsid w:val="003C01EA"/>
    <w:rsid w:val="003C7762"/>
    <w:rsid w:val="003D2508"/>
    <w:rsid w:val="003D47D4"/>
    <w:rsid w:val="003D5E35"/>
    <w:rsid w:val="003E0BCF"/>
    <w:rsid w:val="003E272E"/>
    <w:rsid w:val="003E41C4"/>
    <w:rsid w:val="003E5056"/>
    <w:rsid w:val="003F0E5B"/>
    <w:rsid w:val="003F2FFC"/>
    <w:rsid w:val="003F3938"/>
    <w:rsid w:val="003F44F3"/>
    <w:rsid w:val="003F70F0"/>
    <w:rsid w:val="004073C6"/>
    <w:rsid w:val="0041579F"/>
    <w:rsid w:val="00424219"/>
    <w:rsid w:val="0043729A"/>
    <w:rsid w:val="00440A17"/>
    <w:rsid w:val="00441D4A"/>
    <w:rsid w:val="004421E9"/>
    <w:rsid w:val="00460EBB"/>
    <w:rsid w:val="0046122C"/>
    <w:rsid w:val="00465E83"/>
    <w:rsid w:val="00466967"/>
    <w:rsid w:val="004710A4"/>
    <w:rsid w:val="00477816"/>
    <w:rsid w:val="00482F82"/>
    <w:rsid w:val="0048502E"/>
    <w:rsid w:val="004850F3"/>
    <w:rsid w:val="004921E7"/>
    <w:rsid w:val="004A257E"/>
    <w:rsid w:val="004A6CA1"/>
    <w:rsid w:val="004B180C"/>
    <w:rsid w:val="004B3429"/>
    <w:rsid w:val="004C31AD"/>
    <w:rsid w:val="004C3E59"/>
    <w:rsid w:val="004C4CFF"/>
    <w:rsid w:val="004D6758"/>
    <w:rsid w:val="004D6DE0"/>
    <w:rsid w:val="004D70DC"/>
    <w:rsid w:val="004E27D8"/>
    <w:rsid w:val="004E4E68"/>
    <w:rsid w:val="00502A92"/>
    <w:rsid w:val="005052A5"/>
    <w:rsid w:val="00510590"/>
    <w:rsid w:val="00517D33"/>
    <w:rsid w:val="005220CD"/>
    <w:rsid w:val="00522D38"/>
    <w:rsid w:val="00523A42"/>
    <w:rsid w:val="00526D1A"/>
    <w:rsid w:val="00533724"/>
    <w:rsid w:val="0053427F"/>
    <w:rsid w:val="005342D4"/>
    <w:rsid w:val="0053457A"/>
    <w:rsid w:val="00543A0D"/>
    <w:rsid w:val="005455F1"/>
    <w:rsid w:val="0054784A"/>
    <w:rsid w:val="0055011E"/>
    <w:rsid w:val="005501E4"/>
    <w:rsid w:val="00552F8B"/>
    <w:rsid w:val="005606A7"/>
    <w:rsid w:val="00561CE8"/>
    <w:rsid w:val="00563013"/>
    <w:rsid w:val="00577449"/>
    <w:rsid w:val="00583875"/>
    <w:rsid w:val="00584D5D"/>
    <w:rsid w:val="00585672"/>
    <w:rsid w:val="00587FF8"/>
    <w:rsid w:val="00592249"/>
    <w:rsid w:val="0059260B"/>
    <w:rsid w:val="005A20CA"/>
    <w:rsid w:val="005C3E10"/>
    <w:rsid w:val="005C5B5F"/>
    <w:rsid w:val="005D68D4"/>
    <w:rsid w:val="005E11E5"/>
    <w:rsid w:val="005E1B75"/>
    <w:rsid w:val="005E2FD7"/>
    <w:rsid w:val="005F728E"/>
    <w:rsid w:val="0060643D"/>
    <w:rsid w:val="00610FBE"/>
    <w:rsid w:val="006178BE"/>
    <w:rsid w:val="006201B0"/>
    <w:rsid w:val="00625EEC"/>
    <w:rsid w:val="0064604A"/>
    <w:rsid w:val="00650807"/>
    <w:rsid w:val="006512DE"/>
    <w:rsid w:val="006553CB"/>
    <w:rsid w:val="006560EC"/>
    <w:rsid w:val="00661D71"/>
    <w:rsid w:val="00666C2A"/>
    <w:rsid w:val="0066768D"/>
    <w:rsid w:val="00671DA0"/>
    <w:rsid w:val="00673DE5"/>
    <w:rsid w:val="006803BE"/>
    <w:rsid w:val="00680E10"/>
    <w:rsid w:val="006812FB"/>
    <w:rsid w:val="00692B95"/>
    <w:rsid w:val="00694213"/>
    <w:rsid w:val="00695ED5"/>
    <w:rsid w:val="00696FA0"/>
    <w:rsid w:val="006A057B"/>
    <w:rsid w:val="006A1481"/>
    <w:rsid w:val="006A3185"/>
    <w:rsid w:val="006B2D49"/>
    <w:rsid w:val="006B3325"/>
    <w:rsid w:val="006B3354"/>
    <w:rsid w:val="006B4CD1"/>
    <w:rsid w:val="006B5580"/>
    <w:rsid w:val="006B619C"/>
    <w:rsid w:val="006B63C6"/>
    <w:rsid w:val="006C0B4B"/>
    <w:rsid w:val="006C3409"/>
    <w:rsid w:val="006C59D1"/>
    <w:rsid w:val="006C5A74"/>
    <w:rsid w:val="006D3AFB"/>
    <w:rsid w:val="006E715F"/>
    <w:rsid w:val="006F1D79"/>
    <w:rsid w:val="006F5388"/>
    <w:rsid w:val="007016AD"/>
    <w:rsid w:val="00704CBC"/>
    <w:rsid w:val="007102F4"/>
    <w:rsid w:val="007169D1"/>
    <w:rsid w:val="007177D2"/>
    <w:rsid w:val="0072030B"/>
    <w:rsid w:val="00720A29"/>
    <w:rsid w:val="0072276D"/>
    <w:rsid w:val="00723CD9"/>
    <w:rsid w:val="0072515C"/>
    <w:rsid w:val="00732782"/>
    <w:rsid w:val="00732BC1"/>
    <w:rsid w:val="00732FFE"/>
    <w:rsid w:val="007407BF"/>
    <w:rsid w:val="007411F5"/>
    <w:rsid w:val="007425DA"/>
    <w:rsid w:val="00747A20"/>
    <w:rsid w:val="0075311A"/>
    <w:rsid w:val="00753759"/>
    <w:rsid w:val="00756DFD"/>
    <w:rsid w:val="0077612D"/>
    <w:rsid w:val="00777C75"/>
    <w:rsid w:val="00785923"/>
    <w:rsid w:val="00786115"/>
    <w:rsid w:val="00791116"/>
    <w:rsid w:val="0079513A"/>
    <w:rsid w:val="00795A22"/>
    <w:rsid w:val="007971B3"/>
    <w:rsid w:val="007A29EF"/>
    <w:rsid w:val="007A7FB5"/>
    <w:rsid w:val="007B26EF"/>
    <w:rsid w:val="007B39D2"/>
    <w:rsid w:val="007B6F0E"/>
    <w:rsid w:val="007B7126"/>
    <w:rsid w:val="007F5D23"/>
    <w:rsid w:val="0080065D"/>
    <w:rsid w:val="008026CA"/>
    <w:rsid w:val="00805029"/>
    <w:rsid w:val="008078A5"/>
    <w:rsid w:val="008130DC"/>
    <w:rsid w:val="00813696"/>
    <w:rsid w:val="008136C7"/>
    <w:rsid w:val="00813A70"/>
    <w:rsid w:val="008229C5"/>
    <w:rsid w:val="00825B2C"/>
    <w:rsid w:val="00834B4F"/>
    <w:rsid w:val="00835342"/>
    <w:rsid w:val="008446D8"/>
    <w:rsid w:val="00844A44"/>
    <w:rsid w:val="008471A5"/>
    <w:rsid w:val="00854C29"/>
    <w:rsid w:val="008636B6"/>
    <w:rsid w:val="00865CD2"/>
    <w:rsid w:val="0087125D"/>
    <w:rsid w:val="00871D40"/>
    <w:rsid w:val="00872E0F"/>
    <w:rsid w:val="00873031"/>
    <w:rsid w:val="00873D2F"/>
    <w:rsid w:val="00874779"/>
    <w:rsid w:val="00874CFA"/>
    <w:rsid w:val="0088465B"/>
    <w:rsid w:val="0089050B"/>
    <w:rsid w:val="0089059E"/>
    <w:rsid w:val="00897521"/>
    <w:rsid w:val="008A74C1"/>
    <w:rsid w:val="008B1F85"/>
    <w:rsid w:val="008D3062"/>
    <w:rsid w:val="008F18DF"/>
    <w:rsid w:val="008F1A3A"/>
    <w:rsid w:val="00914ECF"/>
    <w:rsid w:val="009333E5"/>
    <w:rsid w:val="00934F83"/>
    <w:rsid w:val="00936184"/>
    <w:rsid w:val="00937657"/>
    <w:rsid w:val="009447AE"/>
    <w:rsid w:val="0095179B"/>
    <w:rsid w:val="00961099"/>
    <w:rsid w:val="009638B8"/>
    <w:rsid w:val="00970F88"/>
    <w:rsid w:val="00977B32"/>
    <w:rsid w:val="009806EE"/>
    <w:rsid w:val="00983C57"/>
    <w:rsid w:val="00995AD5"/>
    <w:rsid w:val="009A55FC"/>
    <w:rsid w:val="009A599C"/>
    <w:rsid w:val="009B184A"/>
    <w:rsid w:val="009B39A8"/>
    <w:rsid w:val="009B510A"/>
    <w:rsid w:val="009C735B"/>
    <w:rsid w:val="009D14B9"/>
    <w:rsid w:val="009F099C"/>
    <w:rsid w:val="009F0B93"/>
    <w:rsid w:val="009F14B9"/>
    <w:rsid w:val="00A01524"/>
    <w:rsid w:val="00A04AF2"/>
    <w:rsid w:val="00A1113B"/>
    <w:rsid w:val="00A30076"/>
    <w:rsid w:val="00A30F8F"/>
    <w:rsid w:val="00A3323B"/>
    <w:rsid w:val="00A336CF"/>
    <w:rsid w:val="00A3608D"/>
    <w:rsid w:val="00A47339"/>
    <w:rsid w:val="00A47C1D"/>
    <w:rsid w:val="00A54372"/>
    <w:rsid w:val="00A5467C"/>
    <w:rsid w:val="00A55AEB"/>
    <w:rsid w:val="00A577CC"/>
    <w:rsid w:val="00A61B4B"/>
    <w:rsid w:val="00A64D10"/>
    <w:rsid w:val="00A7380C"/>
    <w:rsid w:val="00A73ED7"/>
    <w:rsid w:val="00A80A79"/>
    <w:rsid w:val="00A80FB7"/>
    <w:rsid w:val="00A81044"/>
    <w:rsid w:val="00A844E2"/>
    <w:rsid w:val="00A91B1A"/>
    <w:rsid w:val="00AA7EE9"/>
    <w:rsid w:val="00AB13CE"/>
    <w:rsid w:val="00AB66BB"/>
    <w:rsid w:val="00AD4518"/>
    <w:rsid w:val="00AE5B91"/>
    <w:rsid w:val="00AE679D"/>
    <w:rsid w:val="00AE7201"/>
    <w:rsid w:val="00AF0E98"/>
    <w:rsid w:val="00AF3FED"/>
    <w:rsid w:val="00B0064B"/>
    <w:rsid w:val="00B03711"/>
    <w:rsid w:val="00B1210C"/>
    <w:rsid w:val="00B12988"/>
    <w:rsid w:val="00B22412"/>
    <w:rsid w:val="00B27116"/>
    <w:rsid w:val="00B3654A"/>
    <w:rsid w:val="00B5037E"/>
    <w:rsid w:val="00B53048"/>
    <w:rsid w:val="00B56F87"/>
    <w:rsid w:val="00B64E8B"/>
    <w:rsid w:val="00B75FB7"/>
    <w:rsid w:val="00B83C5C"/>
    <w:rsid w:val="00B878B5"/>
    <w:rsid w:val="00B9328B"/>
    <w:rsid w:val="00BA3922"/>
    <w:rsid w:val="00BA3D5A"/>
    <w:rsid w:val="00BA4A29"/>
    <w:rsid w:val="00BA6850"/>
    <w:rsid w:val="00BB035A"/>
    <w:rsid w:val="00BB39ED"/>
    <w:rsid w:val="00BB705E"/>
    <w:rsid w:val="00BC51C5"/>
    <w:rsid w:val="00BC6D64"/>
    <w:rsid w:val="00BD5A05"/>
    <w:rsid w:val="00BD6AE3"/>
    <w:rsid w:val="00BE44C2"/>
    <w:rsid w:val="00BF5FCE"/>
    <w:rsid w:val="00C0213C"/>
    <w:rsid w:val="00C20022"/>
    <w:rsid w:val="00C23A41"/>
    <w:rsid w:val="00C23D22"/>
    <w:rsid w:val="00C32A7A"/>
    <w:rsid w:val="00C34297"/>
    <w:rsid w:val="00C35702"/>
    <w:rsid w:val="00C41335"/>
    <w:rsid w:val="00C437B6"/>
    <w:rsid w:val="00C44106"/>
    <w:rsid w:val="00C45A28"/>
    <w:rsid w:val="00C47038"/>
    <w:rsid w:val="00C50537"/>
    <w:rsid w:val="00C51468"/>
    <w:rsid w:val="00C557F1"/>
    <w:rsid w:val="00C67DA9"/>
    <w:rsid w:val="00C72227"/>
    <w:rsid w:val="00C77E7F"/>
    <w:rsid w:val="00C8457F"/>
    <w:rsid w:val="00C912AF"/>
    <w:rsid w:val="00C93130"/>
    <w:rsid w:val="00CA0178"/>
    <w:rsid w:val="00CC7C72"/>
    <w:rsid w:val="00CE1B4B"/>
    <w:rsid w:val="00CF3123"/>
    <w:rsid w:val="00D12FA4"/>
    <w:rsid w:val="00D13D3A"/>
    <w:rsid w:val="00D22612"/>
    <w:rsid w:val="00D248AC"/>
    <w:rsid w:val="00D24906"/>
    <w:rsid w:val="00D26ECF"/>
    <w:rsid w:val="00D278B6"/>
    <w:rsid w:val="00D31EA5"/>
    <w:rsid w:val="00D430C5"/>
    <w:rsid w:val="00D43BBA"/>
    <w:rsid w:val="00D44A71"/>
    <w:rsid w:val="00D47923"/>
    <w:rsid w:val="00D51EE3"/>
    <w:rsid w:val="00D53D9E"/>
    <w:rsid w:val="00D55142"/>
    <w:rsid w:val="00D55F39"/>
    <w:rsid w:val="00D5678A"/>
    <w:rsid w:val="00D6202E"/>
    <w:rsid w:val="00D654E9"/>
    <w:rsid w:val="00D674CA"/>
    <w:rsid w:val="00D67563"/>
    <w:rsid w:val="00D901D4"/>
    <w:rsid w:val="00D94615"/>
    <w:rsid w:val="00DA507F"/>
    <w:rsid w:val="00DA5B9A"/>
    <w:rsid w:val="00DB0B10"/>
    <w:rsid w:val="00DB3609"/>
    <w:rsid w:val="00DB5DCC"/>
    <w:rsid w:val="00DC085B"/>
    <w:rsid w:val="00DC2826"/>
    <w:rsid w:val="00DD3B20"/>
    <w:rsid w:val="00DE1367"/>
    <w:rsid w:val="00DE3171"/>
    <w:rsid w:val="00DE612A"/>
    <w:rsid w:val="00DF0A36"/>
    <w:rsid w:val="00DF2C9B"/>
    <w:rsid w:val="00DF2DDC"/>
    <w:rsid w:val="00DF7E1C"/>
    <w:rsid w:val="00E02947"/>
    <w:rsid w:val="00E104B3"/>
    <w:rsid w:val="00E11C75"/>
    <w:rsid w:val="00E2072A"/>
    <w:rsid w:val="00E3168D"/>
    <w:rsid w:val="00E332FD"/>
    <w:rsid w:val="00E363CB"/>
    <w:rsid w:val="00E4662B"/>
    <w:rsid w:val="00E51A37"/>
    <w:rsid w:val="00E52667"/>
    <w:rsid w:val="00E57A13"/>
    <w:rsid w:val="00E64511"/>
    <w:rsid w:val="00E657CF"/>
    <w:rsid w:val="00E67144"/>
    <w:rsid w:val="00E718FB"/>
    <w:rsid w:val="00E72BC8"/>
    <w:rsid w:val="00E73143"/>
    <w:rsid w:val="00E80A42"/>
    <w:rsid w:val="00E90A9B"/>
    <w:rsid w:val="00EA1525"/>
    <w:rsid w:val="00EA4954"/>
    <w:rsid w:val="00EA6727"/>
    <w:rsid w:val="00EB1FC7"/>
    <w:rsid w:val="00EB3A0F"/>
    <w:rsid w:val="00EB3FCA"/>
    <w:rsid w:val="00EB6E69"/>
    <w:rsid w:val="00EC0B55"/>
    <w:rsid w:val="00EC35EB"/>
    <w:rsid w:val="00ED0875"/>
    <w:rsid w:val="00ED7F5A"/>
    <w:rsid w:val="00EE000C"/>
    <w:rsid w:val="00EF4C35"/>
    <w:rsid w:val="00EF57B3"/>
    <w:rsid w:val="00EF61A2"/>
    <w:rsid w:val="00F21CF2"/>
    <w:rsid w:val="00F25F1F"/>
    <w:rsid w:val="00F2701F"/>
    <w:rsid w:val="00F31C5B"/>
    <w:rsid w:val="00F37EB1"/>
    <w:rsid w:val="00F41DCC"/>
    <w:rsid w:val="00F42172"/>
    <w:rsid w:val="00F46DC5"/>
    <w:rsid w:val="00F506F2"/>
    <w:rsid w:val="00F5363F"/>
    <w:rsid w:val="00F5649B"/>
    <w:rsid w:val="00F60B55"/>
    <w:rsid w:val="00F621D6"/>
    <w:rsid w:val="00F72F4C"/>
    <w:rsid w:val="00F81904"/>
    <w:rsid w:val="00F831DB"/>
    <w:rsid w:val="00FA2832"/>
    <w:rsid w:val="00FA6DEB"/>
    <w:rsid w:val="00FA7D64"/>
    <w:rsid w:val="00FB5583"/>
    <w:rsid w:val="00FB5D68"/>
    <w:rsid w:val="00FC0393"/>
    <w:rsid w:val="00FC47F9"/>
    <w:rsid w:val="00FD4DF2"/>
    <w:rsid w:val="00FE468C"/>
    <w:rsid w:val="00FE49EF"/>
    <w:rsid w:val="00FF24CA"/>
    <w:rsid w:val="00FF29E6"/>
    <w:rsid w:val="00FF5EFE"/>
    <w:rsid w:val="0F5A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4E222E8"/>
  <w15:docId w15:val="{EF78D035-0D77-4369-BC32-4EFD73144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6EC"/>
    <w:pPr>
      <w:spacing w:after="160" w:line="300" w:lineRule="auto"/>
    </w:pPr>
    <w:rPr>
      <w:sz w:val="21"/>
      <w:szCs w:val="21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Opisslike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Istaknuto">
    <w:name w:val="Emphasis"/>
    <w:basedOn w:val="Zadanifontodlomka"/>
    <w:uiPriority w:val="20"/>
    <w:qFormat/>
    <w:rPr>
      <w:i/>
      <w:iCs/>
      <w:color w:val="000000" w:themeColor="text1"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Naglaeno">
    <w:name w:val="Strong"/>
    <w:basedOn w:val="Zadanifontodlomka"/>
    <w:uiPriority w:val="22"/>
    <w:qFormat/>
    <w:rPr>
      <w:b/>
      <w:bCs/>
    </w:rPr>
  </w:style>
  <w:style w:type="paragraph" w:styleId="Podnaslov">
    <w:name w:val="Subtitle"/>
    <w:basedOn w:val="Normal"/>
    <w:next w:val="Normal"/>
    <w:link w:val="PodnaslovChar"/>
    <w:uiPriority w:val="11"/>
    <w:qFormat/>
    <w:pPr>
      <w:jc w:val="center"/>
    </w:pPr>
    <w:rPr>
      <w:color w:val="44546A" w:themeColor="text2"/>
      <w:sz w:val="28"/>
      <w:szCs w:val="28"/>
    </w:rPr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next w:val="Normal"/>
    <w:link w:val="NaslovChar"/>
    <w:uiPriority w:val="10"/>
    <w:qFormat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PodnojeChar">
    <w:name w:val="Podnožje Char"/>
    <w:basedOn w:val="Zadanifontodlomka"/>
    <w:link w:val="Podnoje"/>
    <w:uiPriority w:val="99"/>
  </w:style>
  <w:style w:type="paragraph" w:styleId="Bezproreda">
    <w:name w:val="No Spacing"/>
    <w:uiPriority w:val="1"/>
    <w:qFormat/>
    <w:rPr>
      <w:sz w:val="21"/>
      <w:szCs w:val="21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Pr>
      <w:rFonts w:asciiTheme="majorHAnsi" w:eastAsiaTheme="majorEastAsia" w:hAnsiTheme="majorHAnsi" w:cstheme="majorBidi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Pr>
      <w:rFonts w:asciiTheme="majorHAnsi" w:eastAsiaTheme="majorEastAsia" w:hAnsiTheme="majorHAnsi" w:cstheme="majorBidi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Naslov5Char">
    <w:name w:val="Naslov 5 Char"/>
    <w:basedOn w:val="Zadanifontodlomka"/>
    <w:link w:val="Naslov5"/>
    <w:uiPriority w:val="9"/>
    <w:semiHidden/>
    <w:rPr>
      <w:rFonts w:asciiTheme="majorHAnsi" w:eastAsiaTheme="majorEastAsia" w:hAnsiTheme="majorHAnsi" w:cstheme="majorBidi"/>
      <w:sz w:val="28"/>
      <w:szCs w:val="28"/>
    </w:rPr>
  </w:style>
  <w:style w:type="character" w:customStyle="1" w:styleId="Naslov6Char">
    <w:name w:val="Naslov 6 Char"/>
    <w:basedOn w:val="Zadanifontodlomka"/>
    <w:link w:val="Naslov6"/>
    <w:uiPriority w:val="9"/>
    <w:semiHidden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slov7Char">
    <w:name w:val="Naslov 7 Char"/>
    <w:basedOn w:val="Zadanifontodlomka"/>
    <w:link w:val="Naslov7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slov9Char">
    <w:name w:val="Naslov 9 Char"/>
    <w:basedOn w:val="Zadanifontodlomka"/>
    <w:link w:val="Naslov9"/>
    <w:uiPriority w:val="9"/>
    <w:semiHidden/>
    <w:rPr>
      <w:b/>
      <w:bCs/>
      <w:i/>
      <w:iCs/>
    </w:rPr>
  </w:style>
  <w:style w:type="character" w:customStyle="1" w:styleId="NaslovChar">
    <w:name w:val="Naslov Char"/>
    <w:basedOn w:val="Zadanifontodlomka"/>
    <w:link w:val="Naslov"/>
    <w:uiPriority w:val="10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PodnaslovChar">
    <w:name w:val="Podnaslov Char"/>
    <w:basedOn w:val="Zadanifontodlomka"/>
    <w:link w:val="Podnaslov"/>
    <w:uiPriority w:val="11"/>
    <w:rPr>
      <w:color w:val="44546A" w:themeColor="text2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Pr>
      <w:i/>
      <w:iCs/>
      <w:color w:val="7B7B7B" w:themeColor="accent3" w:themeShade="BF"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NaglaencitatChar">
    <w:name w:val="Naglašen citat Char"/>
    <w:basedOn w:val="Zadanifontodlomka"/>
    <w:link w:val="Naglaencitat"/>
    <w:uiPriority w:val="30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Neupadljivoisticanje1">
    <w:name w:val="Neupadljivo isticanje1"/>
    <w:basedOn w:val="Zadanifontodlomka"/>
    <w:uiPriority w:val="19"/>
    <w:qFormat/>
    <w:rPr>
      <w:i/>
      <w:iCs/>
      <w:color w:val="595959" w:themeColor="text1" w:themeTint="A6"/>
    </w:rPr>
  </w:style>
  <w:style w:type="character" w:customStyle="1" w:styleId="Jakoisticanje1">
    <w:name w:val="Jako isticanje1"/>
    <w:basedOn w:val="Zadanifontodlomka"/>
    <w:uiPriority w:val="21"/>
    <w:qFormat/>
    <w:rPr>
      <w:b/>
      <w:bCs/>
      <w:i/>
      <w:iCs/>
      <w:color w:val="auto"/>
    </w:rPr>
  </w:style>
  <w:style w:type="character" w:customStyle="1" w:styleId="Neupadljivareferenca1">
    <w:name w:val="Neupadljiva referenca1"/>
    <w:basedOn w:val="Zadanifontodlomka"/>
    <w:uiPriority w:val="31"/>
    <w:qFormat/>
    <w:rPr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Istaknutareferenca1">
    <w:name w:val="Istaknuta referenca1"/>
    <w:basedOn w:val="Zadanifontodlomka"/>
    <w:uiPriority w:val="32"/>
    <w:qFormat/>
    <w:rPr>
      <w:b/>
      <w:bCs/>
      <w:smallCaps/>
      <w:color w:val="auto"/>
      <w:spacing w:val="0"/>
      <w:u w:val="single"/>
    </w:rPr>
  </w:style>
  <w:style w:type="character" w:customStyle="1" w:styleId="Naslovknjige1">
    <w:name w:val="Naslov knjige1"/>
    <w:basedOn w:val="Zadanifontodlomka"/>
    <w:uiPriority w:val="33"/>
    <w:qFormat/>
    <w:rPr>
      <w:b/>
      <w:bCs/>
      <w:smallCaps/>
      <w:spacing w:val="0"/>
    </w:rPr>
  </w:style>
  <w:style w:type="paragraph" w:customStyle="1" w:styleId="TOCNaslov1">
    <w:name w:val="TOC Naslov1"/>
    <w:basedOn w:val="Naslov1"/>
    <w:next w:val="Normal"/>
    <w:uiPriority w:val="39"/>
    <w:semiHidden/>
    <w:unhideWhenUsed/>
    <w:qFormat/>
    <w:pPr>
      <w:outlineLvl w:val="9"/>
    </w:pPr>
  </w:style>
  <w:style w:type="character" w:customStyle="1" w:styleId="ZaglavljeChar">
    <w:name w:val="Zaglavlje Char"/>
    <w:basedOn w:val="Zadanifontodlomka"/>
    <w:link w:val="Zaglavlj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34395-BBDD-4ACE-A722-8D44E0C11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3923</TotalTime>
  <Pages>1</Pages>
  <Words>3480</Words>
  <Characters>19837</Characters>
  <Application>Microsoft Office Word</Application>
  <DocSecurity>0</DocSecurity>
  <Lines>165</Lines>
  <Paragraphs>46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damir.kovacic100@gmail.com</dc:creator>
  <cp:lastModifiedBy>Općina Štrigova</cp:lastModifiedBy>
  <cp:revision>64</cp:revision>
  <cp:lastPrinted>2024-09-13T12:20:00Z</cp:lastPrinted>
  <dcterms:created xsi:type="dcterms:W3CDTF">2022-09-15T10:01:00Z</dcterms:created>
  <dcterms:modified xsi:type="dcterms:W3CDTF">2024-10-04T06:46:00Z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B39BE266E99D410687B590FC033883BB_12</vt:lpwstr>
  </property>
</Properties>
</file>