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2AA3" w14:textId="77777777" w:rsidR="001C4242" w:rsidRDefault="00000000">
      <w:pPr>
        <w:pStyle w:val="Bezproreda"/>
        <w:jc w:val="both"/>
      </w:pPr>
      <w:r>
        <w:t xml:space="preserve">                               </w:t>
      </w:r>
      <w:bookmarkStart w:id="0" w:name="_Hlk34651683"/>
      <w:r>
        <w:rPr>
          <w:noProof/>
          <w:lang w:eastAsia="hr-HR"/>
        </w:rPr>
        <w:drawing>
          <wp:inline distT="0" distB="0" distL="0" distR="0" wp14:anchorId="480051DB" wp14:editId="4F511D6B">
            <wp:extent cx="600710" cy="762000"/>
            <wp:effectExtent l="0" t="0" r="8757" b="0"/>
            <wp:docPr id="1" name="grafik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e1"/>
                    <pic:cNvPicPr/>
                  </pic:nvPicPr>
                  <pic:blipFill>
                    <a:blip r:embed="rId8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843" cy="762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</w:t>
      </w:r>
      <w:r>
        <w:tab/>
        <w:t xml:space="preserve">                  </w:t>
      </w:r>
      <w:r>
        <w:tab/>
      </w:r>
      <w:r>
        <w:tab/>
      </w:r>
      <w:r>
        <w:tab/>
      </w:r>
      <w:r>
        <w:tab/>
      </w:r>
    </w:p>
    <w:p w14:paraId="188F77E6" w14:textId="77777777" w:rsidR="001C4242" w:rsidRDefault="00000000">
      <w:pPr>
        <w:pStyle w:val="Bezproreda"/>
        <w:jc w:val="both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5E26A0F" wp14:editId="0A0BB9A3">
            <wp:simplePos x="0" y="0"/>
            <wp:positionH relativeFrom="column">
              <wp:posOffset>-68580</wp:posOffset>
            </wp:positionH>
            <wp:positionV relativeFrom="paragraph">
              <wp:posOffset>151765</wp:posOffset>
            </wp:positionV>
            <wp:extent cx="535305" cy="697230"/>
            <wp:effectExtent l="0" t="0" r="0" b="7529"/>
            <wp:wrapSquare wrapText="bothSides"/>
            <wp:docPr id="2" name="grafik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e4"/>
                    <pic:cNvPicPr/>
                  </pic:nvPicPr>
                  <pic:blipFill>
                    <a:blip r:embed="rId9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317" cy="6973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52F76D5F" w14:textId="77777777" w:rsidR="001C4242" w:rsidRDefault="00000000">
      <w:pPr>
        <w:pStyle w:val="Bezproreda"/>
        <w:jc w:val="both"/>
      </w:pPr>
      <w:r>
        <w:t xml:space="preserve">  REPUBLIKA HRVATSKA</w:t>
      </w:r>
    </w:p>
    <w:p w14:paraId="792BC5E7" w14:textId="77777777" w:rsidR="001C4242" w:rsidRDefault="00000000">
      <w:pPr>
        <w:pStyle w:val="Bezproreda"/>
        <w:jc w:val="both"/>
      </w:pPr>
      <w:r>
        <w:t>MEĐIMURSKA ŽUPANIJA</w:t>
      </w:r>
    </w:p>
    <w:p w14:paraId="1F541A71" w14:textId="77777777" w:rsidR="001C4242" w:rsidRDefault="00000000">
      <w:pPr>
        <w:pStyle w:val="Bezproreda"/>
        <w:jc w:val="both"/>
      </w:pPr>
      <w:r>
        <w:t xml:space="preserve">     OPĆINA ŠTRIGOVA</w:t>
      </w:r>
    </w:p>
    <w:p w14:paraId="78872DB3" w14:textId="77777777" w:rsidR="001C4242" w:rsidRDefault="001C4242">
      <w:pPr>
        <w:jc w:val="both"/>
        <w:rPr>
          <w:b/>
          <w:i/>
        </w:rPr>
      </w:pPr>
    </w:p>
    <w:p w14:paraId="74F12542" w14:textId="77777777" w:rsidR="001C4242" w:rsidRDefault="001C4242">
      <w:pPr>
        <w:jc w:val="both"/>
        <w:rPr>
          <w:b/>
          <w:i/>
        </w:rPr>
      </w:pPr>
    </w:p>
    <w:p w14:paraId="622F5148" w14:textId="0EC59BAD" w:rsidR="001C4242" w:rsidRDefault="00000000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OBRAZLOŽENJE UZ GODIŠNJI IZVJEŠTAJ O IZVRŠENJU PRORAČUNA OPĆINE ŠTRIGOVA ZA 202</w:t>
      </w:r>
      <w:r w:rsidR="00EC4D64">
        <w:rPr>
          <w:b/>
          <w:i/>
          <w:sz w:val="24"/>
          <w:szCs w:val="24"/>
        </w:rPr>
        <w:t>4</w:t>
      </w:r>
      <w:r>
        <w:rPr>
          <w:b/>
          <w:i/>
          <w:sz w:val="24"/>
          <w:szCs w:val="24"/>
        </w:rPr>
        <w:t>. GODINU</w:t>
      </w:r>
    </w:p>
    <w:p w14:paraId="4C4E1E2F" w14:textId="77777777" w:rsidR="001C4242" w:rsidRDefault="001C4242">
      <w:pPr>
        <w:jc w:val="both"/>
        <w:rPr>
          <w:rFonts w:cstheme="minorHAnsi"/>
        </w:rPr>
      </w:pPr>
    </w:p>
    <w:p w14:paraId="6BE8C18B" w14:textId="58F22CBB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>Sadržaj, donošenje</w:t>
      </w:r>
      <w:r w:rsidR="00DA65B5">
        <w:rPr>
          <w:rFonts w:cstheme="minorHAnsi"/>
        </w:rPr>
        <w:t>,</w:t>
      </w:r>
      <w:r>
        <w:rPr>
          <w:rFonts w:cstheme="minorHAnsi"/>
        </w:rPr>
        <w:t xml:space="preserve"> dostava</w:t>
      </w:r>
      <w:r w:rsidR="00DA65B5">
        <w:rPr>
          <w:rFonts w:cstheme="minorHAnsi"/>
        </w:rPr>
        <w:t xml:space="preserve"> i objava </w:t>
      </w:r>
      <w:r>
        <w:rPr>
          <w:rFonts w:cstheme="minorHAnsi"/>
        </w:rPr>
        <w:t xml:space="preserve"> godišnjeg izvještaja o izvršenju proračuna propisan</w:t>
      </w:r>
      <w:r w:rsidR="00DA65B5">
        <w:rPr>
          <w:rFonts w:cstheme="minorHAnsi"/>
        </w:rPr>
        <w:t>i su</w:t>
      </w:r>
      <w:r>
        <w:rPr>
          <w:rFonts w:cstheme="minorHAnsi"/>
        </w:rPr>
        <w:t xml:space="preserve"> odredbama </w:t>
      </w:r>
      <w:r w:rsidR="009B55C6" w:rsidRPr="00983C57">
        <w:t xml:space="preserve">članka </w:t>
      </w:r>
      <w:r w:rsidR="009B55C6">
        <w:t>76. – 80.</w:t>
      </w:r>
      <w:r w:rsidR="009B55C6" w:rsidRPr="00983C57">
        <w:t xml:space="preserve"> </w:t>
      </w:r>
      <w:r w:rsidR="009B55C6">
        <w:t xml:space="preserve">i članka 89. </w:t>
      </w:r>
      <w:r>
        <w:rPr>
          <w:rFonts w:cstheme="minorHAnsi"/>
        </w:rPr>
        <w:t>Zakona o proračunu (Narodne novine 144/21</w:t>
      </w:r>
      <w:r w:rsidR="00DA65B5">
        <w:rPr>
          <w:rFonts w:cstheme="minorHAnsi"/>
        </w:rPr>
        <w:t>.</w:t>
      </w:r>
      <w:r>
        <w:rPr>
          <w:rFonts w:cstheme="minorHAnsi"/>
        </w:rPr>
        <w:t xml:space="preserve">) i Pravilnika o polugodišnjem i godišnjem izvještaju o izvršenju proračuna i financijskog plana (Narodne novine 85/23.). </w:t>
      </w:r>
      <w:r w:rsidR="00DA65B5">
        <w:rPr>
          <w:rFonts w:cstheme="minorHAnsi"/>
        </w:rPr>
        <w:t>G</w:t>
      </w:r>
      <w:r>
        <w:rPr>
          <w:rFonts w:cstheme="minorHAnsi"/>
        </w:rPr>
        <w:t>odišnji izvještaj o izvršenju proračuna sadrži opći i posebni dio, obrazloženje i posebne izvještaje. Slijedom navedenog, godišnji izvještaj za 202</w:t>
      </w:r>
      <w:r w:rsidR="00EC4D64">
        <w:rPr>
          <w:rFonts w:cstheme="minorHAnsi"/>
        </w:rPr>
        <w:t>4</w:t>
      </w:r>
      <w:r>
        <w:rPr>
          <w:rFonts w:cstheme="minorHAnsi"/>
        </w:rPr>
        <w:t>. godinu mora sadržavati slijedeće:</w:t>
      </w:r>
    </w:p>
    <w:p w14:paraId="5B55F4D8" w14:textId="52848BA9" w:rsidR="001C4242" w:rsidRDefault="00000000">
      <w:pPr>
        <w:jc w:val="both"/>
        <w:rPr>
          <w:rFonts w:cstheme="minorHAnsi"/>
        </w:rPr>
      </w:pPr>
      <w:r>
        <w:rPr>
          <w:rFonts w:cstheme="minorHAnsi"/>
          <w:b/>
        </w:rPr>
        <w:t>1.</w:t>
      </w:r>
      <w:r>
        <w:rPr>
          <w:rFonts w:cstheme="minorHAnsi"/>
        </w:rPr>
        <w:t xml:space="preserve">  </w:t>
      </w:r>
      <w:r>
        <w:rPr>
          <w:rFonts w:cstheme="minorHAnsi"/>
          <w:b/>
          <w:bCs/>
        </w:rPr>
        <w:t>Op</w:t>
      </w:r>
      <w:r>
        <w:rPr>
          <w:rFonts w:cstheme="minorHAnsi"/>
          <w:b/>
        </w:rPr>
        <w:t>ći dio godišnjeg izvještaja o izvršenju Proračuna</w:t>
      </w:r>
    </w:p>
    <w:p w14:paraId="0B9EEC59" w14:textId="77777777" w:rsidR="001C4242" w:rsidRDefault="00000000">
      <w:pPr>
        <w:pStyle w:val="Bezproreda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1.1. Sažetak Računa prihoda i rashoda i Računa financiranja </w:t>
      </w:r>
    </w:p>
    <w:p w14:paraId="6ADDB8B1" w14:textId="77777777" w:rsidR="001C4242" w:rsidRDefault="001C4242">
      <w:pPr>
        <w:pStyle w:val="Bezproreda"/>
        <w:rPr>
          <w:rFonts w:cstheme="minorHAnsi"/>
          <w:i/>
          <w:iCs/>
        </w:rPr>
      </w:pPr>
    </w:p>
    <w:p w14:paraId="57035E81" w14:textId="77777777" w:rsidR="001C4242" w:rsidRDefault="00000000">
      <w:pPr>
        <w:pStyle w:val="Bezproreda"/>
        <w:rPr>
          <w:rFonts w:cstheme="minorHAnsi"/>
          <w:i/>
          <w:iCs/>
        </w:rPr>
      </w:pPr>
      <w:bookmarkStart w:id="1" w:name="_Hlk145504518"/>
      <w:r>
        <w:rPr>
          <w:rFonts w:cstheme="minorHAnsi"/>
          <w:i/>
          <w:iCs/>
        </w:rPr>
        <w:t>1.2. Račun prihoda i rashoda</w:t>
      </w:r>
      <w:bookmarkEnd w:id="1"/>
      <w:r>
        <w:rPr>
          <w:rFonts w:cstheme="minorHAnsi"/>
          <w:i/>
          <w:iCs/>
        </w:rPr>
        <w:t xml:space="preserve">,   </w:t>
      </w:r>
    </w:p>
    <w:p w14:paraId="374D4C9C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- Izvještaj o prihodima i rashodima prema ekonomskoj klasifikaciji,</w:t>
      </w:r>
    </w:p>
    <w:p w14:paraId="2B80DD08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- Izvještaj o prihodima i rashodima prema izvorima financiranja,</w:t>
      </w:r>
    </w:p>
    <w:p w14:paraId="09AC4604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- Izvještaj o rashodima prema funkcijskoj klasifikaciji.</w:t>
      </w:r>
    </w:p>
    <w:p w14:paraId="3106AD38" w14:textId="77777777" w:rsidR="001C4242" w:rsidRDefault="001C4242">
      <w:pPr>
        <w:pStyle w:val="Bezproreda"/>
        <w:rPr>
          <w:rFonts w:cstheme="minorHAnsi"/>
        </w:rPr>
      </w:pPr>
    </w:p>
    <w:p w14:paraId="683005CC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  <w:i/>
          <w:iCs/>
        </w:rPr>
        <w:t>1.3. Račun financiranja</w:t>
      </w:r>
      <w:r>
        <w:rPr>
          <w:rFonts w:cstheme="minorHAnsi"/>
        </w:rPr>
        <w:t>,</w:t>
      </w:r>
    </w:p>
    <w:p w14:paraId="155B55C1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- Izvještaj računa financiranja prema ekonomskoj klasifikaciji,</w:t>
      </w:r>
    </w:p>
    <w:p w14:paraId="6BF57D24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 xml:space="preserve">- Izvještaj računa financiranja prema izvorima financiranja. </w:t>
      </w:r>
    </w:p>
    <w:p w14:paraId="43CEB87A" w14:textId="77777777" w:rsidR="001C4242" w:rsidRDefault="001C4242">
      <w:pPr>
        <w:pStyle w:val="Bezproreda"/>
        <w:rPr>
          <w:rFonts w:cstheme="minorHAnsi"/>
        </w:rPr>
      </w:pPr>
    </w:p>
    <w:p w14:paraId="6C87F776" w14:textId="2967A59D" w:rsidR="001C4242" w:rsidRDefault="00000000">
      <w:pPr>
        <w:jc w:val="both"/>
        <w:rPr>
          <w:rFonts w:cstheme="minorHAnsi"/>
        </w:rPr>
      </w:pPr>
      <w:r>
        <w:rPr>
          <w:rFonts w:cstheme="minorHAnsi"/>
          <w:b/>
        </w:rPr>
        <w:t>2.</w:t>
      </w:r>
      <w:r>
        <w:rPr>
          <w:rFonts w:cstheme="minorHAnsi"/>
        </w:rPr>
        <w:t xml:space="preserve">  </w:t>
      </w:r>
      <w:r>
        <w:rPr>
          <w:rFonts w:cstheme="minorHAnsi"/>
          <w:b/>
          <w:bCs/>
        </w:rPr>
        <w:t>Po</w:t>
      </w:r>
      <w:r>
        <w:rPr>
          <w:rFonts w:cstheme="minorHAnsi"/>
          <w:b/>
        </w:rPr>
        <w:t>sebni dio godišnjeg izvještaja o izvršenju proračuna</w:t>
      </w:r>
      <w:r>
        <w:rPr>
          <w:rFonts w:cstheme="minorHAnsi"/>
        </w:rPr>
        <w:t xml:space="preserve"> </w:t>
      </w:r>
    </w:p>
    <w:p w14:paraId="372D4D39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- izvještaj po organizacijskoj klasifikaciji,</w:t>
      </w:r>
    </w:p>
    <w:p w14:paraId="5FF85826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- izvještaj po programskoj klasifikaciji.</w:t>
      </w:r>
    </w:p>
    <w:p w14:paraId="555A9ED7" w14:textId="77777777" w:rsidR="001C4242" w:rsidRDefault="001C4242">
      <w:pPr>
        <w:jc w:val="both"/>
        <w:rPr>
          <w:rFonts w:cstheme="minorHAnsi"/>
          <w:b/>
        </w:rPr>
      </w:pPr>
    </w:p>
    <w:p w14:paraId="108C93AC" w14:textId="07D53167" w:rsidR="001C4242" w:rsidRDefault="00000000">
      <w:pPr>
        <w:pStyle w:val="Bezproreda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3. Obrazloženje godišnjeg izvještaja o izvršenju proračuna</w:t>
      </w:r>
    </w:p>
    <w:p w14:paraId="7C09E0BB" w14:textId="77777777" w:rsidR="001C4242" w:rsidRDefault="001C4242">
      <w:pPr>
        <w:pStyle w:val="Bezproreda"/>
        <w:rPr>
          <w:rFonts w:cstheme="minorHAnsi"/>
          <w:b/>
          <w:bCs/>
        </w:rPr>
      </w:pPr>
    </w:p>
    <w:p w14:paraId="21FF6F6E" w14:textId="77777777" w:rsidR="001C4242" w:rsidRDefault="00000000">
      <w:pPr>
        <w:pStyle w:val="Bezproreda"/>
        <w:rPr>
          <w:rFonts w:cstheme="minorHAnsi"/>
          <w:i/>
          <w:iCs/>
        </w:rPr>
      </w:pPr>
      <w:r>
        <w:rPr>
          <w:rFonts w:cstheme="minorHAnsi"/>
          <w:i/>
          <w:iCs/>
        </w:rPr>
        <w:t>3.1. Obrazloženje općeg dijela izvještaja o izvršenju proračuna,</w:t>
      </w:r>
    </w:p>
    <w:p w14:paraId="5F628E6C" w14:textId="77777777" w:rsidR="001C4242" w:rsidRDefault="00000000">
      <w:pPr>
        <w:pStyle w:val="Bezproreda"/>
        <w:rPr>
          <w:rFonts w:cstheme="minorHAnsi"/>
          <w:i/>
          <w:iCs/>
        </w:rPr>
      </w:pPr>
      <w:r>
        <w:rPr>
          <w:rFonts w:cstheme="minorHAnsi"/>
          <w:i/>
          <w:iCs/>
        </w:rPr>
        <w:t>3.2. Obrazloženje posebnog dijela izvještaja o izvršenju proračuna.</w:t>
      </w:r>
    </w:p>
    <w:p w14:paraId="62FEBFAA" w14:textId="77777777" w:rsidR="001C4242" w:rsidRDefault="001C4242">
      <w:pPr>
        <w:pStyle w:val="Bezproreda"/>
        <w:rPr>
          <w:rFonts w:cstheme="minorHAnsi"/>
        </w:rPr>
      </w:pPr>
    </w:p>
    <w:p w14:paraId="620BD551" w14:textId="77777777" w:rsidR="001C4242" w:rsidRDefault="00000000">
      <w:pPr>
        <w:pStyle w:val="Bezproreda"/>
        <w:rPr>
          <w:rFonts w:cstheme="minorHAnsi"/>
          <w:b/>
          <w:bCs/>
        </w:rPr>
      </w:pPr>
      <w:r>
        <w:rPr>
          <w:rFonts w:cstheme="minorHAnsi"/>
          <w:b/>
          <w:bCs/>
        </w:rPr>
        <w:t>4. Izvještaj o korištenju proračunske zalihe</w:t>
      </w:r>
    </w:p>
    <w:p w14:paraId="7B03683A" w14:textId="77777777" w:rsidR="001C4242" w:rsidRDefault="001C4242">
      <w:pPr>
        <w:pStyle w:val="Bezproreda"/>
        <w:rPr>
          <w:rFonts w:cstheme="minorHAnsi"/>
          <w:b/>
          <w:bCs/>
        </w:rPr>
      </w:pPr>
    </w:p>
    <w:p w14:paraId="4CC2772D" w14:textId="77777777" w:rsidR="001C4242" w:rsidRDefault="00000000">
      <w:pPr>
        <w:pStyle w:val="Bezproreda"/>
        <w:rPr>
          <w:rFonts w:cstheme="minorHAnsi"/>
          <w:b/>
          <w:bCs/>
        </w:rPr>
      </w:pPr>
      <w:r>
        <w:rPr>
          <w:rFonts w:cstheme="minorHAnsi"/>
          <w:b/>
          <w:bCs/>
        </w:rPr>
        <w:t>5. Izvještaj o zaduživanju na domaćem i stranom tržištu novca i kapitala</w:t>
      </w:r>
    </w:p>
    <w:p w14:paraId="5B62C7CC" w14:textId="77777777" w:rsidR="001C4242" w:rsidRDefault="001C4242">
      <w:pPr>
        <w:pStyle w:val="Bezproreda"/>
        <w:rPr>
          <w:rFonts w:cstheme="minorHAnsi"/>
          <w:b/>
          <w:bCs/>
        </w:rPr>
      </w:pPr>
    </w:p>
    <w:p w14:paraId="7797BDC4" w14:textId="77777777" w:rsidR="001C4242" w:rsidRDefault="00000000">
      <w:pPr>
        <w:pStyle w:val="Bezproreda"/>
        <w:rPr>
          <w:rFonts w:cstheme="minorHAnsi"/>
          <w:b/>
          <w:bCs/>
        </w:rPr>
      </w:pPr>
      <w:r>
        <w:rPr>
          <w:rFonts w:cstheme="minorHAnsi"/>
          <w:b/>
          <w:bCs/>
        </w:rPr>
        <w:t>6.  Izvještaj o danim jamstvima i plaćanjima po protestiranim jamstvima</w:t>
      </w:r>
    </w:p>
    <w:p w14:paraId="3EB2F6F4" w14:textId="77777777" w:rsidR="00A311C6" w:rsidRDefault="00A311C6">
      <w:pPr>
        <w:pStyle w:val="Bezproreda"/>
        <w:rPr>
          <w:rFonts w:cstheme="minorHAnsi"/>
          <w:b/>
          <w:bCs/>
        </w:rPr>
      </w:pPr>
    </w:p>
    <w:p w14:paraId="37BEB389" w14:textId="3B44DC43" w:rsidR="00A311C6" w:rsidRDefault="00A311C6">
      <w:pPr>
        <w:pStyle w:val="Bezproreda"/>
        <w:rPr>
          <w:rFonts w:cstheme="minorHAnsi"/>
          <w:b/>
          <w:bCs/>
        </w:rPr>
      </w:pPr>
      <w:r>
        <w:rPr>
          <w:rFonts w:cstheme="minorHAnsi"/>
          <w:b/>
          <w:bCs/>
        </w:rPr>
        <w:t>7. Izvještaj o korištenju sredstava fondova Europske unije</w:t>
      </w:r>
    </w:p>
    <w:p w14:paraId="5BEFE3ED" w14:textId="77777777" w:rsidR="00A311C6" w:rsidRDefault="00A311C6">
      <w:pPr>
        <w:pStyle w:val="Bezproreda"/>
        <w:rPr>
          <w:rFonts w:cstheme="minorHAnsi"/>
          <w:b/>
          <w:bCs/>
        </w:rPr>
      </w:pPr>
    </w:p>
    <w:p w14:paraId="2B549CCA" w14:textId="77777777" w:rsidR="00A311C6" w:rsidRDefault="00A311C6">
      <w:pPr>
        <w:pStyle w:val="Bezproreda"/>
        <w:rPr>
          <w:rFonts w:cstheme="minorHAnsi"/>
          <w:b/>
          <w:bCs/>
        </w:rPr>
      </w:pPr>
      <w:r>
        <w:rPr>
          <w:rFonts w:cstheme="minorHAnsi"/>
          <w:b/>
          <w:bCs/>
        </w:rPr>
        <w:t>8. Izvještaj o danim zajmovima i potraživanjima po danim zajmovima</w:t>
      </w:r>
    </w:p>
    <w:p w14:paraId="3D7EC336" w14:textId="77777777" w:rsidR="00A311C6" w:rsidRDefault="00A311C6">
      <w:pPr>
        <w:pStyle w:val="Bezproreda"/>
        <w:rPr>
          <w:rFonts w:cstheme="minorHAnsi"/>
          <w:b/>
          <w:bCs/>
        </w:rPr>
      </w:pPr>
    </w:p>
    <w:p w14:paraId="5033305A" w14:textId="1A5A130F" w:rsidR="00A311C6" w:rsidRDefault="00A311C6">
      <w:pPr>
        <w:pStyle w:val="Bezproreda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9. Izvještaj o stanju potraživanja i dospjelih obveza te o stanju potencijalnih obveza po osnovi sudskih sporova  </w:t>
      </w:r>
    </w:p>
    <w:p w14:paraId="1357EE2F" w14:textId="77777777" w:rsidR="001C4242" w:rsidRDefault="001C4242">
      <w:pPr>
        <w:pStyle w:val="Bezproreda"/>
        <w:rPr>
          <w:rFonts w:cstheme="minorHAnsi"/>
          <w:b/>
          <w:bCs/>
        </w:rPr>
      </w:pPr>
    </w:p>
    <w:p w14:paraId="2F593CCB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D7E08AC" w14:textId="77777777" w:rsidR="001C4242" w:rsidRDefault="001C4242">
      <w:pPr>
        <w:pStyle w:val="Bezproreda"/>
        <w:rPr>
          <w:rFonts w:cstheme="minorHAnsi"/>
        </w:rPr>
      </w:pPr>
    </w:p>
    <w:p w14:paraId="22B3161C" w14:textId="77777777" w:rsidR="001F4F37" w:rsidRDefault="001F4F37">
      <w:pPr>
        <w:jc w:val="both"/>
        <w:rPr>
          <w:rFonts w:cstheme="minorHAnsi"/>
          <w:b/>
        </w:rPr>
      </w:pPr>
    </w:p>
    <w:p w14:paraId="4AFAE0A8" w14:textId="4C7E41E7" w:rsidR="001C4242" w:rsidRPr="0087621C" w:rsidRDefault="00000000">
      <w:pPr>
        <w:jc w:val="both"/>
        <w:rPr>
          <w:rFonts w:cstheme="minorHAnsi"/>
          <w:b/>
        </w:rPr>
      </w:pPr>
      <w:r w:rsidRPr="0087621C">
        <w:rPr>
          <w:rFonts w:cstheme="minorHAnsi"/>
          <w:b/>
        </w:rPr>
        <w:t>1. OPĆI DIO GODIŠNJEG IZVJEŠTAJA O IZVRŠENJU PRORAČUNA</w:t>
      </w:r>
    </w:p>
    <w:p w14:paraId="15897B67" w14:textId="77777777" w:rsidR="001C4242" w:rsidRPr="0087621C" w:rsidRDefault="00000000">
      <w:pPr>
        <w:jc w:val="both"/>
        <w:rPr>
          <w:rFonts w:cstheme="minorHAnsi"/>
          <w:b/>
          <w:bCs/>
        </w:rPr>
      </w:pPr>
      <w:r w:rsidRPr="0087621C">
        <w:rPr>
          <w:rFonts w:cstheme="minorHAnsi"/>
          <w:b/>
          <w:bCs/>
        </w:rPr>
        <w:t>1.1. Sažetak Računa prihoda i rashoda i Računa financiranja</w:t>
      </w:r>
    </w:p>
    <w:p w14:paraId="564FE73F" w14:textId="5E93AD7A" w:rsidR="001C4242" w:rsidRPr="0087621C" w:rsidRDefault="00000000">
      <w:pPr>
        <w:jc w:val="both"/>
        <w:rPr>
          <w:rFonts w:cstheme="minorHAnsi"/>
        </w:rPr>
      </w:pPr>
      <w:r w:rsidRPr="0087621C">
        <w:rPr>
          <w:rFonts w:cstheme="minorHAnsi"/>
        </w:rPr>
        <w:t xml:space="preserve">Iz sažetka Računa prihoda i rashoda   vidljivo je da su u  izvještajnom razdoblju ostvareni  prihodi u iznosu od </w:t>
      </w:r>
      <w:r w:rsidR="00EC4D64">
        <w:rPr>
          <w:rFonts w:cstheme="minorHAnsi"/>
        </w:rPr>
        <w:t>2.143.021,33</w:t>
      </w:r>
      <w:r w:rsidRPr="0087621C">
        <w:rPr>
          <w:rFonts w:cstheme="minorHAnsi"/>
        </w:rPr>
        <w:t xml:space="preserve"> eura ili  </w:t>
      </w:r>
      <w:r w:rsidR="00EC4D64">
        <w:rPr>
          <w:rFonts w:cstheme="minorHAnsi"/>
        </w:rPr>
        <w:t>87</w:t>
      </w:r>
      <w:r w:rsidR="00000659" w:rsidRPr="0087621C">
        <w:rPr>
          <w:rFonts w:cstheme="minorHAnsi"/>
        </w:rPr>
        <w:t>,</w:t>
      </w:r>
      <w:r w:rsidR="00EC4D64">
        <w:rPr>
          <w:rFonts w:cstheme="minorHAnsi"/>
        </w:rPr>
        <w:t>46</w:t>
      </w:r>
      <w:r w:rsidRPr="0087621C">
        <w:rPr>
          <w:rFonts w:cstheme="minorHAnsi"/>
        </w:rPr>
        <w:t>% u odnosu na ostvarenje 1-</w:t>
      </w:r>
      <w:r w:rsidR="00000659" w:rsidRPr="0087621C">
        <w:rPr>
          <w:rFonts w:cstheme="minorHAnsi"/>
        </w:rPr>
        <w:t>12</w:t>
      </w:r>
      <w:r w:rsidRPr="0087621C">
        <w:rPr>
          <w:rFonts w:cstheme="minorHAnsi"/>
        </w:rPr>
        <w:t>/202</w:t>
      </w:r>
      <w:r w:rsidR="00EC4D64">
        <w:rPr>
          <w:rFonts w:cstheme="minorHAnsi"/>
        </w:rPr>
        <w:t>3</w:t>
      </w:r>
      <w:r w:rsidRPr="0087621C">
        <w:rPr>
          <w:rFonts w:cstheme="minorHAnsi"/>
        </w:rPr>
        <w:t xml:space="preserve">. i </w:t>
      </w:r>
      <w:r w:rsidR="00000659" w:rsidRPr="0087621C">
        <w:rPr>
          <w:rFonts w:cstheme="minorHAnsi"/>
        </w:rPr>
        <w:t>10</w:t>
      </w:r>
      <w:r w:rsidR="00EC4D64">
        <w:rPr>
          <w:rFonts w:cstheme="minorHAnsi"/>
        </w:rPr>
        <w:t>1</w:t>
      </w:r>
      <w:r w:rsidR="00000659" w:rsidRPr="0087621C">
        <w:rPr>
          <w:rFonts w:cstheme="minorHAnsi"/>
        </w:rPr>
        <w:t>,8</w:t>
      </w:r>
      <w:r w:rsidR="00EC4D64">
        <w:rPr>
          <w:rFonts w:cstheme="minorHAnsi"/>
        </w:rPr>
        <w:t>2</w:t>
      </w:r>
      <w:r w:rsidRPr="0087621C">
        <w:rPr>
          <w:rFonts w:cstheme="minorHAnsi"/>
        </w:rPr>
        <w:t>% u odnosu na godišnji plan za 202</w:t>
      </w:r>
      <w:r w:rsidR="00EC4D64">
        <w:rPr>
          <w:rFonts w:cstheme="minorHAnsi"/>
        </w:rPr>
        <w:t>4</w:t>
      </w:r>
      <w:r w:rsidRPr="0087621C">
        <w:rPr>
          <w:rFonts w:cstheme="minorHAnsi"/>
        </w:rPr>
        <w:t xml:space="preserve">. godinu, a rashodi realizirani u iznosu od </w:t>
      </w:r>
      <w:r w:rsidR="00000659" w:rsidRPr="0087621C">
        <w:rPr>
          <w:rFonts w:cstheme="minorHAnsi"/>
        </w:rPr>
        <w:t>2.</w:t>
      </w:r>
      <w:r w:rsidR="00EC4D64">
        <w:rPr>
          <w:rFonts w:cstheme="minorHAnsi"/>
        </w:rPr>
        <w:t>463</w:t>
      </w:r>
      <w:r w:rsidR="00000659" w:rsidRPr="0087621C">
        <w:rPr>
          <w:rFonts w:cstheme="minorHAnsi"/>
        </w:rPr>
        <w:t>.</w:t>
      </w:r>
      <w:r w:rsidR="00EC4D64">
        <w:rPr>
          <w:rFonts w:cstheme="minorHAnsi"/>
        </w:rPr>
        <w:t>713</w:t>
      </w:r>
      <w:r w:rsidR="00000659" w:rsidRPr="0087621C">
        <w:rPr>
          <w:rFonts w:cstheme="minorHAnsi"/>
        </w:rPr>
        <w:t>,</w:t>
      </w:r>
      <w:r w:rsidR="00EC4D64">
        <w:rPr>
          <w:rFonts w:cstheme="minorHAnsi"/>
        </w:rPr>
        <w:t>66</w:t>
      </w:r>
      <w:r w:rsidRPr="0087621C">
        <w:rPr>
          <w:rFonts w:cstheme="minorHAnsi"/>
        </w:rPr>
        <w:t xml:space="preserve"> eura ili 1</w:t>
      </w:r>
      <w:r w:rsidR="0046697C">
        <w:rPr>
          <w:rFonts w:cstheme="minorHAnsi"/>
        </w:rPr>
        <w:t>20</w:t>
      </w:r>
      <w:r w:rsidRPr="0087621C">
        <w:rPr>
          <w:rFonts w:cstheme="minorHAnsi"/>
        </w:rPr>
        <w:t>,</w:t>
      </w:r>
      <w:r w:rsidR="0046697C">
        <w:rPr>
          <w:rFonts w:cstheme="minorHAnsi"/>
        </w:rPr>
        <w:t>77</w:t>
      </w:r>
      <w:r w:rsidRPr="0087621C">
        <w:rPr>
          <w:rFonts w:cstheme="minorHAnsi"/>
        </w:rPr>
        <w:t>% u odnosu na izvršenje 1-</w:t>
      </w:r>
      <w:r w:rsidR="00000659" w:rsidRPr="0087621C">
        <w:rPr>
          <w:rFonts w:cstheme="minorHAnsi"/>
        </w:rPr>
        <w:t>12</w:t>
      </w:r>
      <w:r w:rsidRPr="0087621C">
        <w:rPr>
          <w:rFonts w:cstheme="minorHAnsi"/>
        </w:rPr>
        <w:t>/202</w:t>
      </w:r>
      <w:r w:rsidR="0046697C">
        <w:rPr>
          <w:rFonts w:cstheme="minorHAnsi"/>
        </w:rPr>
        <w:t>3</w:t>
      </w:r>
      <w:r w:rsidRPr="0087621C">
        <w:rPr>
          <w:rFonts w:cstheme="minorHAnsi"/>
        </w:rPr>
        <w:t xml:space="preserve">. i </w:t>
      </w:r>
      <w:r w:rsidR="0046697C">
        <w:rPr>
          <w:rFonts w:cstheme="minorHAnsi"/>
        </w:rPr>
        <w:t>70</w:t>
      </w:r>
      <w:r w:rsidRPr="0087621C">
        <w:rPr>
          <w:rFonts w:cstheme="minorHAnsi"/>
        </w:rPr>
        <w:t>,</w:t>
      </w:r>
      <w:r w:rsidR="0046697C">
        <w:rPr>
          <w:rFonts w:cstheme="minorHAnsi"/>
        </w:rPr>
        <w:t>84</w:t>
      </w:r>
      <w:r w:rsidRPr="0087621C">
        <w:rPr>
          <w:rFonts w:cstheme="minorHAnsi"/>
        </w:rPr>
        <w:t>% u odnosu na godišnji plan za 202</w:t>
      </w:r>
      <w:r w:rsidR="0046697C">
        <w:rPr>
          <w:rFonts w:cstheme="minorHAnsi"/>
        </w:rPr>
        <w:t>4</w:t>
      </w:r>
      <w:r w:rsidRPr="0087621C">
        <w:rPr>
          <w:rFonts w:cstheme="minorHAnsi"/>
        </w:rPr>
        <w:t xml:space="preserve">. godinu. Razlika ukupnih prihoda i ukupnih rashoda za </w:t>
      </w:r>
      <w:r w:rsidR="00000659" w:rsidRPr="0087621C">
        <w:rPr>
          <w:rFonts w:cstheme="minorHAnsi"/>
        </w:rPr>
        <w:t>izvještajno</w:t>
      </w:r>
      <w:r w:rsidRPr="0087621C">
        <w:rPr>
          <w:rFonts w:cstheme="minorHAnsi"/>
        </w:rPr>
        <w:t xml:space="preserve"> razdoblje iznosi </w:t>
      </w:r>
      <w:r w:rsidR="0046697C">
        <w:rPr>
          <w:rFonts w:cstheme="minorHAnsi"/>
        </w:rPr>
        <w:t>-320</w:t>
      </w:r>
      <w:r w:rsidRPr="0087621C">
        <w:rPr>
          <w:rFonts w:cstheme="minorHAnsi"/>
        </w:rPr>
        <w:t>.</w:t>
      </w:r>
      <w:r w:rsidR="0046697C">
        <w:rPr>
          <w:rFonts w:cstheme="minorHAnsi"/>
        </w:rPr>
        <w:t>692,33</w:t>
      </w:r>
      <w:r w:rsidRPr="0087621C">
        <w:rPr>
          <w:rFonts w:cstheme="minorHAnsi"/>
        </w:rPr>
        <w:t xml:space="preserve"> eura.</w:t>
      </w:r>
    </w:p>
    <w:p w14:paraId="52674B01" w14:textId="494FDF64" w:rsidR="001C4242" w:rsidRPr="0087621C" w:rsidRDefault="00000000">
      <w:pPr>
        <w:jc w:val="both"/>
        <w:rPr>
          <w:rFonts w:cstheme="minorHAnsi"/>
        </w:rPr>
      </w:pPr>
      <w:r w:rsidRPr="0087621C">
        <w:rPr>
          <w:rFonts w:cstheme="minorHAnsi"/>
        </w:rPr>
        <w:t xml:space="preserve">Iz sažetka Računa financiranja vidljivo je da </w:t>
      </w:r>
      <w:r w:rsidR="0046697C">
        <w:rPr>
          <w:rFonts w:cstheme="minorHAnsi"/>
        </w:rPr>
        <w:t>u</w:t>
      </w:r>
      <w:r w:rsidRPr="0087621C">
        <w:rPr>
          <w:rFonts w:cstheme="minorHAnsi"/>
        </w:rPr>
        <w:t xml:space="preserve"> izvještajnom razdoblju </w:t>
      </w:r>
      <w:r w:rsidR="0046697C">
        <w:rPr>
          <w:rFonts w:cstheme="minorHAnsi"/>
        </w:rPr>
        <w:t>nije bilo izdataka</w:t>
      </w:r>
      <w:r w:rsidRPr="0087621C">
        <w:rPr>
          <w:rFonts w:cstheme="minorHAnsi"/>
        </w:rPr>
        <w:t xml:space="preserve"> za financijsku imovinu i otplate zajmova</w:t>
      </w:r>
      <w:r w:rsidR="0046697C">
        <w:rPr>
          <w:rFonts w:cstheme="minorHAnsi"/>
        </w:rPr>
        <w:t>.</w:t>
      </w:r>
    </w:p>
    <w:p w14:paraId="5FB54D83" w14:textId="50867034" w:rsidR="001C4242" w:rsidRPr="0087621C" w:rsidRDefault="00000000">
      <w:pPr>
        <w:jc w:val="both"/>
        <w:rPr>
          <w:rFonts w:cstheme="minorHAnsi"/>
        </w:rPr>
      </w:pPr>
      <w:r w:rsidRPr="0087621C">
        <w:rPr>
          <w:rFonts w:cstheme="minorHAnsi"/>
        </w:rPr>
        <w:t>Godišnjim izvještajem o izvršenju proračuna za 202</w:t>
      </w:r>
      <w:r w:rsidR="0046697C">
        <w:rPr>
          <w:rFonts w:cstheme="minorHAnsi"/>
        </w:rPr>
        <w:t>3</w:t>
      </w:r>
      <w:r w:rsidRPr="0087621C">
        <w:rPr>
          <w:rFonts w:cstheme="minorHAnsi"/>
        </w:rPr>
        <w:t>. godinu ostvaren je višak u iznosu od 1.</w:t>
      </w:r>
      <w:r w:rsidR="0046697C">
        <w:rPr>
          <w:rFonts w:cstheme="minorHAnsi"/>
        </w:rPr>
        <w:t>373.280</w:t>
      </w:r>
      <w:r w:rsidRPr="0087621C">
        <w:rPr>
          <w:rFonts w:cstheme="minorHAnsi"/>
        </w:rPr>
        <w:t>,</w:t>
      </w:r>
      <w:r w:rsidR="0046697C">
        <w:rPr>
          <w:rFonts w:cstheme="minorHAnsi"/>
        </w:rPr>
        <w:t>05</w:t>
      </w:r>
      <w:r w:rsidRPr="0087621C">
        <w:rPr>
          <w:rFonts w:cstheme="minorHAnsi"/>
        </w:rPr>
        <w:t xml:space="preserve"> eura, </w:t>
      </w:r>
      <w:r w:rsidR="0046697C">
        <w:rPr>
          <w:rFonts w:cstheme="minorHAnsi"/>
        </w:rPr>
        <w:t>manjak za izvještajno razdoblje iznosi 320.692,33 eura, te višak za prijenos u slijedeće razdoblje iznosi 1.052.587,72 eura</w:t>
      </w:r>
      <w:r w:rsidRPr="0087621C">
        <w:rPr>
          <w:rFonts w:cstheme="minorHAnsi"/>
        </w:rPr>
        <w:t xml:space="preserve">.      </w:t>
      </w:r>
    </w:p>
    <w:p w14:paraId="5274853A" w14:textId="77777777" w:rsidR="001F4F37" w:rsidRDefault="001F4F37">
      <w:pPr>
        <w:jc w:val="both"/>
        <w:rPr>
          <w:rFonts w:cstheme="minorHAnsi"/>
          <w:b/>
          <w:bCs/>
        </w:rPr>
      </w:pPr>
    </w:p>
    <w:p w14:paraId="0C60DA0F" w14:textId="77777777" w:rsidR="0046697C" w:rsidRDefault="0046697C">
      <w:pPr>
        <w:jc w:val="both"/>
        <w:rPr>
          <w:rFonts w:cstheme="minorHAnsi"/>
          <w:b/>
          <w:bCs/>
        </w:rPr>
      </w:pPr>
    </w:p>
    <w:p w14:paraId="227173BA" w14:textId="77777777" w:rsidR="001F4F37" w:rsidRDefault="001F4F37">
      <w:pPr>
        <w:jc w:val="both"/>
        <w:rPr>
          <w:rFonts w:cstheme="minorHAnsi"/>
          <w:b/>
          <w:bCs/>
        </w:rPr>
      </w:pPr>
    </w:p>
    <w:p w14:paraId="496B86DC" w14:textId="5B27D70A" w:rsidR="001C4242" w:rsidRPr="0087621C" w:rsidRDefault="00000000">
      <w:pPr>
        <w:jc w:val="both"/>
        <w:rPr>
          <w:rFonts w:cstheme="minorHAnsi"/>
          <w:b/>
          <w:bCs/>
        </w:rPr>
      </w:pPr>
      <w:r w:rsidRPr="0087621C">
        <w:rPr>
          <w:rFonts w:cstheme="minorHAnsi"/>
          <w:b/>
          <w:bCs/>
        </w:rPr>
        <w:lastRenderedPageBreak/>
        <w:t>1.2. Račun prihoda i rashoda</w:t>
      </w:r>
    </w:p>
    <w:p w14:paraId="3D2191D2" w14:textId="77777777" w:rsidR="001C4242" w:rsidRPr="0087621C" w:rsidRDefault="00000000">
      <w:pPr>
        <w:jc w:val="both"/>
        <w:rPr>
          <w:rFonts w:cstheme="minorHAnsi"/>
        </w:rPr>
      </w:pPr>
      <w:r w:rsidRPr="0087621C">
        <w:rPr>
          <w:rFonts w:cstheme="minorHAnsi"/>
        </w:rPr>
        <w:t xml:space="preserve">Sukladno gore navedenom Pravilniku Račun prihoda i rashoda sadrži prikaz prihoda i rashoda i iskazuje se prema proračunskim klasifikacijama u izvještajima: </w:t>
      </w:r>
    </w:p>
    <w:p w14:paraId="4BE3EE58" w14:textId="77777777" w:rsidR="001C4242" w:rsidRPr="0087621C" w:rsidRDefault="00000000">
      <w:pPr>
        <w:numPr>
          <w:ilvl w:val="0"/>
          <w:numId w:val="1"/>
        </w:numPr>
        <w:jc w:val="both"/>
        <w:rPr>
          <w:rFonts w:cstheme="minorHAnsi"/>
        </w:rPr>
      </w:pPr>
      <w:r w:rsidRPr="0087621C">
        <w:rPr>
          <w:rFonts w:cstheme="minorHAnsi"/>
        </w:rPr>
        <w:t>Izvještaj o prihodima i rashodima prema ekonomskoj klasifikaciji,</w:t>
      </w:r>
    </w:p>
    <w:p w14:paraId="023B83A2" w14:textId="77777777" w:rsidR="001C4242" w:rsidRPr="00702A6A" w:rsidRDefault="00000000">
      <w:pPr>
        <w:numPr>
          <w:ilvl w:val="0"/>
          <w:numId w:val="1"/>
        </w:numPr>
        <w:jc w:val="both"/>
        <w:rPr>
          <w:rFonts w:cstheme="minorHAnsi"/>
        </w:rPr>
      </w:pPr>
      <w:r w:rsidRPr="00702A6A">
        <w:rPr>
          <w:rFonts w:cstheme="minorHAnsi"/>
        </w:rPr>
        <w:t>Izvještaj o prihodima i rashodima prema izvorima financiranja,</w:t>
      </w:r>
    </w:p>
    <w:p w14:paraId="40359347" w14:textId="77777777" w:rsidR="001C4242" w:rsidRPr="00702A6A" w:rsidRDefault="00000000">
      <w:pPr>
        <w:numPr>
          <w:ilvl w:val="0"/>
          <w:numId w:val="1"/>
        </w:numPr>
        <w:jc w:val="both"/>
        <w:rPr>
          <w:rFonts w:cstheme="minorHAnsi"/>
        </w:rPr>
      </w:pPr>
      <w:r w:rsidRPr="00702A6A">
        <w:rPr>
          <w:rFonts w:cstheme="minorHAnsi"/>
        </w:rPr>
        <w:t xml:space="preserve">Izvještaj o rashodima prema funkcijskoj klasifikaciji.   </w:t>
      </w:r>
    </w:p>
    <w:p w14:paraId="625FD1D3" w14:textId="77777777" w:rsidR="001C4242" w:rsidRPr="00702A6A" w:rsidRDefault="00000000">
      <w:pPr>
        <w:jc w:val="both"/>
        <w:rPr>
          <w:rFonts w:cstheme="minorHAnsi"/>
        </w:rPr>
      </w:pPr>
      <w:r w:rsidRPr="00702A6A">
        <w:rPr>
          <w:rFonts w:cstheme="minorHAnsi"/>
        </w:rPr>
        <w:t>1.3. Račun financiranja</w:t>
      </w:r>
    </w:p>
    <w:p w14:paraId="110183FE" w14:textId="77777777" w:rsidR="001C4242" w:rsidRPr="00702A6A" w:rsidRDefault="00000000">
      <w:pPr>
        <w:jc w:val="both"/>
        <w:rPr>
          <w:rFonts w:cstheme="minorHAnsi"/>
        </w:rPr>
      </w:pPr>
      <w:r w:rsidRPr="00702A6A">
        <w:rPr>
          <w:rFonts w:cstheme="minorHAnsi"/>
        </w:rPr>
        <w:t>Račun financiranja sadrži prikaz primitaka i izdataka i iskazuje se prema proračunskim klasifikacijama u izvještajima:</w:t>
      </w:r>
    </w:p>
    <w:p w14:paraId="02314FD0" w14:textId="77777777" w:rsidR="001C4242" w:rsidRPr="00702A6A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702A6A">
        <w:rPr>
          <w:rFonts w:cstheme="minorHAnsi"/>
        </w:rPr>
        <w:t>Izvještaj računa financiranja prema ekonomskoj klasifikaciji,</w:t>
      </w:r>
    </w:p>
    <w:p w14:paraId="38CF9C4E" w14:textId="77777777" w:rsidR="001C4242" w:rsidRPr="00702A6A" w:rsidRDefault="001C4242">
      <w:pPr>
        <w:pStyle w:val="Odlomakpopisa"/>
        <w:jc w:val="both"/>
        <w:rPr>
          <w:rFonts w:cstheme="minorHAnsi"/>
          <w:sz w:val="16"/>
          <w:szCs w:val="16"/>
        </w:rPr>
      </w:pPr>
    </w:p>
    <w:p w14:paraId="0FAC2998" w14:textId="77777777" w:rsidR="001C4242" w:rsidRPr="00702A6A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702A6A">
        <w:rPr>
          <w:rFonts w:cstheme="minorHAnsi"/>
        </w:rPr>
        <w:t xml:space="preserve">Izvještaj računa financiranja prema izvorima financiranja. </w:t>
      </w:r>
    </w:p>
    <w:p w14:paraId="5AC45ABF" w14:textId="77777777" w:rsidR="001C4242" w:rsidRPr="00702A6A" w:rsidRDefault="001C4242">
      <w:pPr>
        <w:jc w:val="both"/>
        <w:rPr>
          <w:rFonts w:cstheme="minorHAnsi"/>
        </w:rPr>
      </w:pPr>
    </w:p>
    <w:p w14:paraId="39DA49DF" w14:textId="64BB5E9D" w:rsidR="001C4242" w:rsidRPr="00702A6A" w:rsidRDefault="00000000">
      <w:pPr>
        <w:jc w:val="both"/>
        <w:rPr>
          <w:rFonts w:cstheme="minorHAnsi"/>
        </w:rPr>
      </w:pPr>
      <w:r w:rsidRPr="00702A6A">
        <w:rPr>
          <w:rFonts w:cstheme="minorHAnsi"/>
        </w:rPr>
        <w:t>2. POSEBNI DIO GODIŠNJEG IZVJEŠTAJA O IZVRŠENJU PRORAČUNA</w:t>
      </w:r>
    </w:p>
    <w:p w14:paraId="0650CCDA" w14:textId="77777777" w:rsidR="001C4242" w:rsidRPr="00702A6A" w:rsidRDefault="00000000">
      <w:pPr>
        <w:jc w:val="both"/>
        <w:rPr>
          <w:rFonts w:cstheme="minorHAnsi"/>
        </w:rPr>
      </w:pPr>
      <w:r w:rsidRPr="00702A6A">
        <w:rPr>
          <w:rFonts w:cstheme="minorHAnsi"/>
        </w:rPr>
        <w:t>Posebni dio proračuna prema Pravilniku o polugodišnjem i godišnjem izvještaju o izvršenju proračuna iskazuje se u izvještajima:</w:t>
      </w:r>
    </w:p>
    <w:p w14:paraId="64CF7CB1" w14:textId="77777777" w:rsidR="001C4242" w:rsidRPr="00702A6A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702A6A">
        <w:rPr>
          <w:rFonts w:cstheme="minorHAnsi"/>
        </w:rPr>
        <w:t xml:space="preserve">Izvještaj po organizacijskoj klasifikaciji, </w:t>
      </w:r>
    </w:p>
    <w:p w14:paraId="06EF86AB" w14:textId="7D9FF9FA" w:rsidR="001C4242" w:rsidRPr="00702A6A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702A6A">
        <w:rPr>
          <w:rFonts w:cstheme="minorHAnsi"/>
        </w:rPr>
        <w:t xml:space="preserve">Izvještaj </w:t>
      </w:r>
      <w:r w:rsidR="006716E0">
        <w:rPr>
          <w:rFonts w:cstheme="minorHAnsi"/>
        </w:rPr>
        <w:t>prema</w:t>
      </w:r>
      <w:r w:rsidRPr="00702A6A">
        <w:rPr>
          <w:rFonts w:cstheme="minorHAnsi"/>
        </w:rPr>
        <w:t xml:space="preserve"> programskoj klasifikaciji.</w:t>
      </w:r>
    </w:p>
    <w:p w14:paraId="2E0E04F8" w14:textId="77777777" w:rsidR="001C4242" w:rsidRPr="0078222F" w:rsidRDefault="001C4242">
      <w:pPr>
        <w:pStyle w:val="Odlomakpopisa"/>
        <w:jc w:val="both"/>
        <w:rPr>
          <w:rFonts w:cstheme="minorHAnsi"/>
          <w:color w:val="FF0000"/>
        </w:rPr>
      </w:pPr>
    </w:p>
    <w:p w14:paraId="6AE1766F" w14:textId="02B90085" w:rsidR="001C4242" w:rsidRPr="00702A6A" w:rsidRDefault="00000000">
      <w:pPr>
        <w:pStyle w:val="Bezproreda"/>
        <w:rPr>
          <w:rFonts w:cstheme="minorHAnsi"/>
          <w:b/>
          <w:bCs/>
        </w:rPr>
      </w:pPr>
      <w:r w:rsidRPr="00702A6A">
        <w:rPr>
          <w:rFonts w:cstheme="minorHAnsi"/>
          <w:b/>
          <w:bCs/>
        </w:rPr>
        <w:t>3. OBRAZLOŽENJE GODIŠNJEG IZVJEŠTAJA O IZVRŠENJU PRORAČUNA</w:t>
      </w:r>
    </w:p>
    <w:p w14:paraId="66896015" w14:textId="77777777" w:rsidR="001C4242" w:rsidRPr="0078222F" w:rsidRDefault="001C4242">
      <w:pPr>
        <w:pStyle w:val="Bezproreda"/>
        <w:rPr>
          <w:rFonts w:cstheme="minorHAnsi"/>
          <w:i/>
          <w:iCs/>
          <w:color w:val="FF0000"/>
        </w:rPr>
      </w:pPr>
    </w:p>
    <w:p w14:paraId="3F37E4DD" w14:textId="77777777" w:rsidR="001C4242" w:rsidRPr="00702A6A" w:rsidRDefault="00000000">
      <w:pPr>
        <w:pStyle w:val="Bezproreda"/>
        <w:rPr>
          <w:rFonts w:cstheme="minorHAnsi"/>
          <w:i/>
          <w:iCs/>
        </w:rPr>
      </w:pPr>
      <w:r w:rsidRPr="00702A6A">
        <w:rPr>
          <w:rFonts w:cstheme="minorHAnsi"/>
          <w:i/>
          <w:iCs/>
        </w:rPr>
        <w:t>3.1. Obrazloženje općeg dijela izvještaja o izvršenju proračuna</w:t>
      </w:r>
    </w:p>
    <w:p w14:paraId="5E53C6F4" w14:textId="77777777" w:rsidR="001C4242" w:rsidRPr="00702A6A" w:rsidRDefault="001C4242">
      <w:pPr>
        <w:pStyle w:val="Bezproreda"/>
        <w:rPr>
          <w:rFonts w:cstheme="minorHAnsi"/>
          <w:i/>
          <w:iCs/>
        </w:rPr>
      </w:pPr>
    </w:p>
    <w:p w14:paraId="4F046238" w14:textId="77777777" w:rsidR="001C4242" w:rsidRPr="00702A6A" w:rsidRDefault="00000000">
      <w:pPr>
        <w:pStyle w:val="Bezproreda"/>
        <w:rPr>
          <w:rFonts w:cstheme="minorHAnsi"/>
        </w:rPr>
      </w:pPr>
      <w:r w:rsidRPr="00702A6A">
        <w:rPr>
          <w:rFonts w:cstheme="minorHAnsi"/>
        </w:rPr>
        <w:t xml:space="preserve">OBRAZLOŽENJE OSTVARENJA PRIHODA I RASHODA, PRIMITAKA I IZDATAKA </w:t>
      </w:r>
    </w:p>
    <w:p w14:paraId="7638E78A" w14:textId="77777777" w:rsidR="001C4242" w:rsidRPr="00702A6A" w:rsidRDefault="001C4242">
      <w:pPr>
        <w:pStyle w:val="Bezproreda"/>
        <w:rPr>
          <w:rFonts w:cstheme="minorHAnsi"/>
          <w:i/>
          <w:iCs/>
        </w:rPr>
      </w:pPr>
    </w:p>
    <w:p w14:paraId="00179A3D" w14:textId="086B1AC2" w:rsidR="001C4242" w:rsidRPr="006322D4" w:rsidRDefault="00000000">
      <w:pPr>
        <w:jc w:val="both"/>
        <w:rPr>
          <w:rFonts w:cstheme="minorHAnsi"/>
        </w:rPr>
      </w:pPr>
      <w:r w:rsidRPr="006322D4">
        <w:rPr>
          <w:rFonts w:cstheme="minorHAnsi"/>
        </w:rPr>
        <w:t xml:space="preserve">U razdoblju od 01.01. – </w:t>
      </w:r>
      <w:r w:rsidR="00702A6A" w:rsidRPr="006322D4">
        <w:rPr>
          <w:rFonts w:cstheme="minorHAnsi"/>
        </w:rPr>
        <w:t>31</w:t>
      </w:r>
      <w:r w:rsidRPr="006322D4">
        <w:rPr>
          <w:rFonts w:cstheme="minorHAnsi"/>
        </w:rPr>
        <w:t>.</w:t>
      </w:r>
      <w:r w:rsidR="00702A6A" w:rsidRPr="006322D4">
        <w:rPr>
          <w:rFonts w:cstheme="minorHAnsi"/>
        </w:rPr>
        <w:t>12</w:t>
      </w:r>
      <w:r w:rsidRPr="006322D4">
        <w:rPr>
          <w:rFonts w:cstheme="minorHAnsi"/>
        </w:rPr>
        <w:t>.202</w:t>
      </w:r>
      <w:r w:rsidR="0046697C">
        <w:rPr>
          <w:rFonts w:cstheme="minorHAnsi"/>
        </w:rPr>
        <w:t>4</w:t>
      </w:r>
      <w:r w:rsidRPr="006322D4">
        <w:rPr>
          <w:rFonts w:cstheme="minorHAnsi"/>
        </w:rPr>
        <w:t xml:space="preserve">. ostvareni su ukupni prihodi u iznosu od </w:t>
      </w:r>
      <w:r w:rsidR="006322D4" w:rsidRPr="006322D4">
        <w:rPr>
          <w:rFonts w:cstheme="minorHAnsi"/>
        </w:rPr>
        <w:t>2</w:t>
      </w:r>
      <w:r w:rsidRPr="006322D4">
        <w:rPr>
          <w:rFonts w:cstheme="minorHAnsi"/>
        </w:rPr>
        <w:t>.</w:t>
      </w:r>
      <w:r w:rsidR="0046697C">
        <w:rPr>
          <w:rFonts w:cstheme="minorHAnsi"/>
        </w:rPr>
        <w:t>143.021,33</w:t>
      </w:r>
      <w:r w:rsidRPr="006322D4">
        <w:rPr>
          <w:rFonts w:cstheme="minorHAnsi"/>
        </w:rPr>
        <w:t xml:space="preserve"> eura, što je </w:t>
      </w:r>
      <w:r w:rsidR="006322D4" w:rsidRPr="006322D4">
        <w:rPr>
          <w:rFonts w:cstheme="minorHAnsi"/>
        </w:rPr>
        <w:t>10</w:t>
      </w:r>
      <w:r w:rsidR="0046697C">
        <w:rPr>
          <w:rFonts w:cstheme="minorHAnsi"/>
        </w:rPr>
        <w:t>1</w:t>
      </w:r>
      <w:r w:rsidRPr="006322D4">
        <w:rPr>
          <w:rFonts w:cstheme="minorHAnsi"/>
        </w:rPr>
        <w:t>,</w:t>
      </w:r>
      <w:r w:rsidR="0046697C">
        <w:rPr>
          <w:rFonts w:cstheme="minorHAnsi"/>
        </w:rPr>
        <w:t>82</w:t>
      </w:r>
      <w:r w:rsidRPr="006322D4">
        <w:rPr>
          <w:rFonts w:cstheme="minorHAnsi"/>
        </w:rPr>
        <w:t>% ostvarenja u odnosu na godišnji plan za 202</w:t>
      </w:r>
      <w:r w:rsidR="0046697C">
        <w:rPr>
          <w:rFonts w:cstheme="minorHAnsi"/>
        </w:rPr>
        <w:t>4</w:t>
      </w:r>
      <w:r w:rsidRPr="006322D4">
        <w:rPr>
          <w:rFonts w:cstheme="minorHAnsi"/>
        </w:rPr>
        <w:t xml:space="preserve">. godinu. U odnosu na isto izvještajno razdoblje prethodne godine ostvarenje prihoda iznosilo je </w:t>
      </w:r>
      <w:r w:rsidR="0046697C">
        <w:rPr>
          <w:rFonts w:cstheme="minorHAnsi"/>
        </w:rPr>
        <w:t>87</w:t>
      </w:r>
      <w:r w:rsidRPr="006322D4">
        <w:rPr>
          <w:rFonts w:cstheme="minorHAnsi"/>
        </w:rPr>
        <w:t>,</w:t>
      </w:r>
      <w:r w:rsidR="0046697C">
        <w:rPr>
          <w:rFonts w:cstheme="minorHAnsi"/>
        </w:rPr>
        <w:t>46</w:t>
      </w:r>
      <w:r w:rsidRPr="006322D4">
        <w:rPr>
          <w:rFonts w:cstheme="minorHAnsi"/>
        </w:rPr>
        <w:t xml:space="preserve">%.    </w:t>
      </w:r>
    </w:p>
    <w:p w14:paraId="186D31F9" w14:textId="77777777" w:rsidR="001F4F37" w:rsidRDefault="001F4F37">
      <w:pPr>
        <w:jc w:val="both"/>
        <w:rPr>
          <w:rFonts w:cstheme="minorHAnsi"/>
          <w:b/>
          <w:bCs/>
        </w:rPr>
      </w:pPr>
    </w:p>
    <w:p w14:paraId="2484C870" w14:textId="757158EB" w:rsidR="001C4242" w:rsidRPr="006322D4" w:rsidRDefault="00000000" w:rsidP="001F4F37">
      <w:pPr>
        <w:jc w:val="both"/>
        <w:rPr>
          <w:rFonts w:cstheme="minorHAnsi"/>
          <w:b/>
          <w:bCs/>
        </w:rPr>
      </w:pPr>
      <w:r w:rsidRPr="006322D4">
        <w:rPr>
          <w:rFonts w:cstheme="minorHAnsi"/>
          <w:b/>
          <w:bCs/>
        </w:rPr>
        <w:lastRenderedPageBreak/>
        <w:t>Prikaz ostvarenja prihoda poslovanja:</w:t>
      </w:r>
    </w:p>
    <w:p w14:paraId="150A45F6" w14:textId="650E3D3A" w:rsidR="001C4242" w:rsidRPr="00BB4BF2" w:rsidRDefault="00000000">
      <w:pPr>
        <w:numPr>
          <w:ilvl w:val="0"/>
          <w:numId w:val="1"/>
        </w:numPr>
        <w:jc w:val="both"/>
        <w:rPr>
          <w:rFonts w:cstheme="minorHAnsi"/>
        </w:rPr>
      </w:pPr>
      <w:r w:rsidRPr="00BB4BF2">
        <w:rPr>
          <w:rFonts w:cstheme="minorHAnsi"/>
        </w:rPr>
        <w:t xml:space="preserve">porez i prirez na dohodak  (611) ostvareni su u iznosu od </w:t>
      </w:r>
      <w:r w:rsidR="00525F6F">
        <w:rPr>
          <w:rFonts w:cstheme="minorHAnsi"/>
        </w:rPr>
        <w:t>809</w:t>
      </w:r>
      <w:r w:rsidRPr="00BB4BF2">
        <w:rPr>
          <w:rFonts w:cstheme="minorHAnsi"/>
        </w:rPr>
        <w:t>.</w:t>
      </w:r>
      <w:r w:rsidR="00525F6F">
        <w:rPr>
          <w:rFonts w:cstheme="minorHAnsi"/>
        </w:rPr>
        <w:t>533</w:t>
      </w:r>
      <w:r w:rsidRPr="00BB4BF2">
        <w:rPr>
          <w:rFonts w:cstheme="minorHAnsi"/>
        </w:rPr>
        <w:t>,</w:t>
      </w:r>
      <w:r w:rsidR="00525F6F">
        <w:rPr>
          <w:rFonts w:cstheme="minorHAnsi"/>
        </w:rPr>
        <w:t>27</w:t>
      </w:r>
      <w:r w:rsidRPr="00BB4BF2">
        <w:rPr>
          <w:rFonts w:cstheme="minorHAnsi"/>
        </w:rPr>
        <w:t xml:space="preserve"> eura ili </w:t>
      </w:r>
      <w:r w:rsidR="00525F6F">
        <w:rPr>
          <w:rFonts w:cstheme="minorHAnsi"/>
        </w:rPr>
        <w:t>103,63</w:t>
      </w:r>
      <w:r w:rsidRPr="00BB4BF2">
        <w:rPr>
          <w:rFonts w:cstheme="minorHAnsi"/>
        </w:rPr>
        <w:t>% u odnosu na godišnji plan za 202</w:t>
      </w:r>
      <w:r w:rsidR="00525F6F">
        <w:rPr>
          <w:rFonts w:cstheme="minorHAnsi"/>
        </w:rPr>
        <w:t>4</w:t>
      </w:r>
      <w:r w:rsidRPr="00BB4BF2">
        <w:rPr>
          <w:rFonts w:cstheme="minorHAnsi"/>
        </w:rPr>
        <w:t>. godinu</w:t>
      </w:r>
      <w:r w:rsidR="006145ED">
        <w:rPr>
          <w:rFonts w:cstheme="minorHAnsi"/>
        </w:rPr>
        <w:t>, a sastoje se od porez</w:t>
      </w:r>
      <w:r w:rsidR="00525F6F">
        <w:rPr>
          <w:rFonts w:cstheme="minorHAnsi"/>
        </w:rPr>
        <w:t>a</w:t>
      </w:r>
      <w:r w:rsidR="006145ED">
        <w:rPr>
          <w:rFonts w:cstheme="minorHAnsi"/>
        </w:rPr>
        <w:t xml:space="preserve"> i prirez na dohodak od nesamostalnog rada </w:t>
      </w:r>
      <w:r w:rsidR="00525F6F">
        <w:rPr>
          <w:rFonts w:cstheme="minorHAnsi"/>
        </w:rPr>
        <w:t>763.013,54</w:t>
      </w:r>
      <w:r w:rsidR="006145ED">
        <w:rPr>
          <w:rFonts w:cstheme="minorHAnsi"/>
        </w:rPr>
        <w:t xml:space="preserve"> eura</w:t>
      </w:r>
      <w:r w:rsidRPr="00BB4BF2">
        <w:rPr>
          <w:rFonts w:cstheme="minorHAnsi"/>
        </w:rPr>
        <w:t xml:space="preserve">, </w:t>
      </w:r>
      <w:r w:rsidR="006145ED">
        <w:rPr>
          <w:rFonts w:cstheme="minorHAnsi"/>
        </w:rPr>
        <w:t>porez i prirez na dohodak od samostalnih djelatnosti 4</w:t>
      </w:r>
      <w:r w:rsidR="00525F6F">
        <w:rPr>
          <w:rFonts w:cstheme="minorHAnsi"/>
        </w:rPr>
        <w:t>6</w:t>
      </w:r>
      <w:r w:rsidR="006145ED">
        <w:rPr>
          <w:rFonts w:cstheme="minorHAnsi"/>
        </w:rPr>
        <w:t>.</w:t>
      </w:r>
      <w:r w:rsidR="00525F6F">
        <w:rPr>
          <w:rFonts w:cstheme="minorHAnsi"/>
        </w:rPr>
        <w:t>655</w:t>
      </w:r>
      <w:r w:rsidR="006145ED">
        <w:rPr>
          <w:rFonts w:cstheme="minorHAnsi"/>
        </w:rPr>
        <w:t>,</w:t>
      </w:r>
      <w:r w:rsidR="00525F6F">
        <w:rPr>
          <w:rFonts w:cstheme="minorHAnsi"/>
        </w:rPr>
        <w:t>68</w:t>
      </w:r>
      <w:r w:rsidR="006145ED">
        <w:rPr>
          <w:rFonts w:cstheme="minorHAnsi"/>
        </w:rPr>
        <w:t xml:space="preserve"> eura, porez i prirez na dohodak od imovine i imovinskih prava </w:t>
      </w:r>
      <w:r w:rsidR="00525F6F">
        <w:rPr>
          <w:rFonts w:cstheme="minorHAnsi"/>
        </w:rPr>
        <w:t>20</w:t>
      </w:r>
      <w:r w:rsidR="006145ED">
        <w:rPr>
          <w:rFonts w:cstheme="minorHAnsi"/>
        </w:rPr>
        <w:t>.</w:t>
      </w:r>
      <w:r w:rsidR="00525F6F">
        <w:rPr>
          <w:rFonts w:cstheme="minorHAnsi"/>
        </w:rPr>
        <w:t>804</w:t>
      </w:r>
      <w:r w:rsidR="006145ED">
        <w:rPr>
          <w:rFonts w:cstheme="minorHAnsi"/>
        </w:rPr>
        <w:t>,</w:t>
      </w:r>
      <w:r w:rsidR="00525F6F">
        <w:rPr>
          <w:rFonts w:cstheme="minorHAnsi"/>
        </w:rPr>
        <w:t>33</w:t>
      </w:r>
      <w:r w:rsidR="006145ED">
        <w:rPr>
          <w:rFonts w:cstheme="minorHAnsi"/>
        </w:rPr>
        <w:t xml:space="preserve"> eura, porez i prirez na dohodak od kapitala </w:t>
      </w:r>
      <w:r w:rsidR="00525F6F">
        <w:rPr>
          <w:rFonts w:cstheme="minorHAnsi"/>
        </w:rPr>
        <w:t>48.993,86</w:t>
      </w:r>
      <w:r w:rsidR="006145ED">
        <w:rPr>
          <w:rFonts w:cstheme="minorHAnsi"/>
        </w:rPr>
        <w:t xml:space="preserve"> eura, porez i prirez na dohodak po godišnjoj prijavi </w:t>
      </w:r>
      <w:r w:rsidR="00525F6F">
        <w:rPr>
          <w:rFonts w:cstheme="minorHAnsi"/>
        </w:rPr>
        <w:t>83</w:t>
      </w:r>
      <w:r w:rsidR="006145ED">
        <w:rPr>
          <w:rFonts w:cstheme="minorHAnsi"/>
        </w:rPr>
        <w:t>.</w:t>
      </w:r>
      <w:r w:rsidR="00525F6F">
        <w:rPr>
          <w:rFonts w:cstheme="minorHAnsi"/>
        </w:rPr>
        <w:t>326</w:t>
      </w:r>
      <w:r w:rsidR="006145ED">
        <w:rPr>
          <w:rFonts w:cstheme="minorHAnsi"/>
        </w:rPr>
        <w:t>,</w:t>
      </w:r>
      <w:r w:rsidR="00525F6F">
        <w:rPr>
          <w:rFonts w:cstheme="minorHAnsi"/>
        </w:rPr>
        <w:t>83</w:t>
      </w:r>
      <w:r w:rsidR="006145ED">
        <w:rPr>
          <w:rFonts w:cstheme="minorHAnsi"/>
        </w:rPr>
        <w:t xml:space="preserve"> eura, povrat poreza i prirez na dohodak po godišnjoj prijavi -1</w:t>
      </w:r>
      <w:r w:rsidR="00525F6F">
        <w:rPr>
          <w:rFonts w:cstheme="minorHAnsi"/>
        </w:rPr>
        <w:t>53</w:t>
      </w:r>
      <w:r w:rsidR="006145ED">
        <w:rPr>
          <w:rFonts w:cstheme="minorHAnsi"/>
        </w:rPr>
        <w:t>.</w:t>
      </w:r>
      <w:r w:rsidR="00525F6F">
        <w:rPr>
          <w:rFonts w:cstheme="minorHAnsi"/>
        </w:rPr>
        <w:t>260</w:t>
      </w:r>
      <w:r w:rsidR="006145ED">
        <w:rPr>
          <w:rFonts w:cstheme="minorHAnsi"/>
        </w:rPr>
        <w:t>,</w:t>
      </w:r>
      <w:r w:rsidR="00525F6F">
        <w:rPr>
          <w:rFonts w:cstheme="minorHAnsi"/>
        </w:rPr>
        <w:t>97</w:t>
      </w:r>
      <w:r w:rsidR="006145ED">
        <w:rPr>
          <w:rFonts w:cstheme="minorHAnsi"/>
        </w:rPr>
        <w:t xml:space="preserve"> eura.  </w:t>
      </w:r>
    </w:p>
    <w:p w14:paraId="462AA43E" w14:textId="0FA91BC0" w:rsidR="001C4242" w:rsidRPr="00BB4BF2" w:rsidRDefault="00000000">
      <w:pPr>
        <w:numPr>
          <w:ilvl w:val="0"/>
          <w:numId w:val="1"/>
        </w:numPr>
        <w:jc w:val="both"/>
        <w:rPr>
          <w:rFonts w:cstheme="minorHAnsi"/>
        </w:rPr>
      </w:pPr>
      <w:r w:rsidRPr="00BB4BF2">
        <w:rPr>
          <w:rFonts w:cstheme="minorHAnsi"/>
        </w:rPr>
        <w:t xml:space="preserve">porezi na imovinu (613) ostvareni su u iznosu od </w:t>
      </w:r>
      <w:r w:rsidR="00525F6F">
        <w:rPr>
          <w:rFonts w:cstheme="minorHAnsi"/>
        </w:rPr>
        <w:t>105.987,19</w:t>
      </w:r>
      <w:r w:rsidRPr="00BB4BF2">
        <w:rPr>
          <w:rFonts w:cstheme="minorHAnsi"/>
        </w:rPr>
        <w:t xml:space="preserve"> eura ili </w:t>
      </w:r>
      <w:r w:rsidR="00525F6F">
        <w:rPr>
          <w:rFonts w:cstheme="minorHAnsi"/>
        </w:rPr>
        <w:t>106</w:t>
      </w:r>
      <w:r w:rsidRPr="00BB4BF2">
        <w:rPr>
          <w:rFonts w:cstheme="minorHAnsi"/>
        </w:rPr>
        <w:t>,</w:t>
      </w:r>
      <w:r w:rsidR="00525F6F">
        <w:rPr>
          <w:rFonts w:cstheme="minorHAnsi"/>
        </w:rPr>
        <w:t>79</w:t>
      </w:r>
      <w:r w:rsidRPr="00BB4BF2">
        <w:rPr>
          <w:rFonts w:cstheme="minorHAnsi"/>
        </w:rPr>
        <w:t>% u odnosu na godišnji plan za 202</w:t>
      </w:r>
      <w:r w:rsidR="00525F6F">
        <w:rPr>
          <w:rFonts w:cstheme="minorHAnsi"/>
        </w:rPr>
        <w:t>4</w:t>
      </w:r>
      <w:r w:rsidRPr="00BB4BF2">
        <w:rPr>
          <w:rFonts w:cstheme="minorHAnsi"/>
        </w:rPr>
        <w:t>. godinu,</w:t>
      </w:r>
      <w:r w:rsidR="006145ED">
        <w:rPr>
          <w:rFonts w:cstheme="minorHAnsi"/>
        </w:rPr>
        <w:t xml:space="preserve"> a sastoje se od poreza na kuće za odmor 1</w:t>
      </w:r>
      <w:r w:rsidR="00525F6F">
        <w:rPr>
          <w:rFonts w:cstheme="minorHAnsi"/>
        </w:rPr>
        <w:t>8</w:t>
      </w:r>
      <w:r w:rsidR="006145ED">
        <w:rPr>
          <w:rFonts w:cstheme="minorHAnsi"/>
        </w:rPr>
        <w:t>.7</w:t>
      </w:r>
      <w:r w:rsidR="00525F6F">
        <w:rPr>
          <w:rFonts w:cstheme="minorHAnsi"/>
        </w:rPr>
        <w:t>00</w:t>
      </w:r>
      <w:r w:rsidR="006145ED">
        <w:rPr>
          <w:rFonts w:cstheme="minorHAnsi"/>
        </w:rPr>
        <w:t>,</w:t>
      </w:r>
      <w:r w:rsidR="00525F6F">
        <w:rPr>
          <w:rFonts w:cstheme="minorHAnsi"/>
        </w:rPr>
        <w:t>38</w:t>
      </w:r>
      <w:r w:rsidR="006145ED">
        <w:rPr>
          <w:rFonts w:cstheme="minorHAnsi"/>
        </w:rPr>
        <w:t xml:space="preserve"> eura, porez na korištenje javnih površina </w:t>
      </w:r>
      <w:r w:rsidR="00525F6F">
        <w:rPr>
          <w:rFonts w:cstheme="minorHAnsi"/>
        </w:rPr>
        <w:t>548</w:t>
      </w:r>
      <w:r w:rsidR="006145ED">
        <w:rPr>
          <w:rFonts w:cstheme="minorHAnsi"/>
        </w:rPr>
        <w:t>,</w:t>
      </w:r>
      <w:r w:rsidR="00525F6F">
        <w:rPr>
          <w:rFonts w:cstheme="minorHAnsi"/>
        </w:rPr>
        <w:t>58</w:t>
      </w:r>
      <w:r w:rsidR="006145ED">
        <w:rPr>
          <w:rFonts w:cstheme="minorHAnsi"/>
        </w:rPr>
        <w:t xml:space="preserve"> eura, porez na promet nekretnina </w:t>
      </w:r>
      <w:r w:rsidR="00525F6F">
        <w:rPr>
          <w:rFonts w:cstheme="minorHAnsi"/>
        </w:rPr>
        <w:t>86</w:t>
      </w:r>
      <w:r w:rsidR="006145ED">
        <w:rPr>
          <w:rFonts w:cstheme="minorHAnsi"/>
        </w:rPr>
        <w:t>.</w:t>
      </w:r>
      <w:r w:rsidR="00525F6F">
        <w:rPr>
          <w:rFonts w:cstheme="minorHAnsi"/>
        </w:rPr>
        <w:t>738</w:t>
      </w:r>
      <w:r w:rsidR="006145ED">
        <w:rPr>
          <w:rFonts w:cstheme="minorHAnsi"/>
        </w:rPr>
        <w:t>,</w:t>
      </w:r>
      <w:r w:rsidR="00525F6F">
        <w:rPr>
          <w:rFonts w:cstheme="minorHAnsi"/>
        </w:rPr>
        <w:t>23</w:t>
      </w:r>
      <w:r w:rsidR="006145ED">
        <w:rPr>
          <w:rFonts w:cstheme="minorHAnsi"/>
        </w:rPr>
        <w:t xml:space="preserve"> eura.</w:t>
      </w:r>
    </w:p>
    <w:p w14:paraId="6CEBA900" w14:textId="1AF52606" w:rsidR="001C4242" w:rsidRPr="00BB4BF2" w:rsidRDefault="00000000">
      <w:pPr>
        <w:numPr>
          <w:ilvl w:val="0"/>
          <w:numId w:val="1"/>
        </w:numPr>
        <w:jc w:val="both"/>
        <w:rPr>
          <w:rFonts w:cstheme="minorHAnsi"/>
        </w:rPr>
      </w:pPr>
      <w:r w:rsidRPr="00BB4BF2">
        <w:rPr>
          <w:rFonts w:cstheme="minorHAnsi"/>
        </w:rPr>
        <w:t xml:space="preserve">porezi na robu i usluge (614) ostvareni su u iznosu od </w:t>
      </w:r>
      <w:r w:rsidR="006322D4" w:rsidRPr="00BB4BF2">
        <w:rPr>
          <w:rFonts w:cstheme="minorHAnsi"/>
        </w:rPr>
        <w:t>18.</w:t>
      </w:r>
      <w:r w:rsidR="00525F6F">
        <w:rPr>
          <w:rFonts w:cstheme="minorHAnsi"/>
        </w:rPr>
        <w:t>765</w:t>
      </w:r>
      <w:r w:rsidR="006322D4" w:rsidRPr="00BB4BF2">
        <w:rPr>
          <w:rFonts w:cstheme="minorHAnsi"/>
        </w:rPr>
        <w:t>,</w:t>
      </w:r>
      <w:r w:rsidR="00525F6F">
        <w:rPr>
          <w:rFonts w:cstheme="minorHAnsi"/>
        </w:rPr>
        <w:t>06</w:t>
      </w:r>
      <w:r w:rsidRPr="00BB4BF2">
        <w:rPr>
          <w:rFonts w:cstheme="minorHAnsi"/>
        </w:rPr>
        <w:t xml:space="preserve"> eura ili </w:t>
      </w:r>
      <w:r w:rsidR="001853EA" w:rsidRPr="00BB4BF2">
        <w:rPr>
          <w:rFonts w:cstheme="minorHAnsi"/>
        </w:rPr>
        <w:t>9</w:t>
      </w:r>
      <w:r w:rsidR="006716E0">
        <w:rPr>
          <w:rFonts w:cstheme="minorHAnsi"/>
        </w:rPr>
        <w:t>7</w:t>
      </w:r>
      <w:r w:rsidRPr="00BB4BF2">
        <w:rPr>
          <w:rFonts w:cstheme="minorHAnsi"/>
        </w:rPr>
        <w:t>,</w:t>
      </w:r>
      <w:r w:rsidR="00525F6F">
        <w:rPr>
          <w:rFonts w:cstheme="minorHAnsi"/>
        </w:rPr>
        <w:t>7</w:t>
      </w:r>
      <w:r w:rsidR="006716E0">
        <w:rPr>
          <w:rFonts w:cstheme="minorHAnsi"/>
        </w:rPr>
        <w:t>3</w:t>
      </w:r>
      <w:r w:rsidRPr="00BB4BF2">
        <w:rPr>
          <w:rFonts w:cstheme="minorHAnsi"/>
        </w:rPr>
        <w:t>% u odnosu na godišnji plan za 202</w:t>
      </w:r>
      <w:r w:rsidR="00525F6F">
        <w:rPr>
          <w:rFonts w:cstheme="minorHAnsi"/>
        </w:rPr>
        <w:t>4</w:t>
      </w:r>
      <w:r w:rsidRPr="00BB4BF2">
        <w:rPr>
          <w:rFonts w:cstheme="minorHAnsi"/>
        </w:rPr>
        <w:t>. godinu,</w:t>
      </w:r>
      <w:r w:rsidR="006145ED">
        <w:rPr>
          <w:rFonts w:cstheme="minorHAnsi"/>
        </w:rPr>
        <w:t xml:space="preserve"> a </w:t>
      </w:r>
      <w:r w:rsidR="00525F6F">
        <w:rPr>
          <w:rFonts w:cstheme="minorHAnsi"/>
        </w:rPr>
        <w:t xml:space="preserve">odnose se na </w:t>
      </w:r>
      <w:r w:rsidR="00493BB9">
        <w:rPr>
          <w:rFonts w:cstheme="minorHAnsi"/>
        </w:rPr>
        <w:t>porez na potrošnju alkoholnih i bezalkoholnih pića</w:t>
      </w:r>
      <w:r w:rsidR="006145ED">
        <w:rPr>
          <w:rFonts w:cstheme="minorHAnsi"/>
        </w:rPr>
        <w:t>.</w:t>
      </w:r>
    </w:p>
    <w:p w14:paraId="05D302DB" w14:textId="144D691A" w:rsidR="00CA19C2" w:rsidRDefault="00000000" w:rsidP="001B3228">
      <w:pPr>
        <w:pStyle w:val="Bezproreda"/>
        <w:numPr>
          <w:ilvl w:val="0"/>
          <w:numId w:val="1"/>
        </w:numPr>
      </w:pPr>
      <w:r w:rsidRPr="00BB4BF2">
        <w:t>pomoći proračunu iz drugih proračuna  (633) ostvaren</w:t>
      </w:r>
      <w:r w:rsidR="006716E0">
        <w:t>e</w:t>
      </w:r>
      <w:r w:rsidRPr="00BB4BF2">
        <w:t xml:space="preserve"> su u iznosu od </w:t>
      </w:r>
      <w:r w:rsidR="00493BB9">
        <w:t>5</w:t>
      </w:r>
      <w:r w:rsidR="006716E0">
        <w:t>59</w:t>
      </w:r>
      <w:r w:rsidRPr="00BB4BF2">
        <w:t>.</w:t>
      </w:r>
      <w:r w:rsidR="006716E0">
        <w:t>383</w:t>
      </w:r>
      <w:r w:rsidR="001853EA" w:rsidRPr="00BB4BF2">
        <w:t>,</w:t>
      </w:r>
      <w:r w:rsidR="00493BB9">
        <w:t>94</w:t>
      </w:r>
      <w:r w:rsidRPr="00BB4BF2">
        <w:t xml:space="preserve"> eura ili </w:t>
      </w:r>
      <w:r w:rsidR="001853EA" w:rsidRPr="00BB4BF2">
        <w:t>10</w:t>
      </w:r>
      <w:r w:rsidR="00493BB9">
        <w:t>0</w:t>
      </w:r>
      <w:r w:rsidR="001853EA" w:rsidRPr="00BB4BF2">
        <w:t>,</w:t>
      </w:r>
      <w:r w:rsidR="00493BB9">
        <w:t>2</w:t>
      </w:r>
      <w:r w:rsidR="006716E0">
        <w:t>1</w:t>
      </w:r>
      <w:r w:rsidRPr="00BB4BF2">
        <w:t>% u odnosu na godišnji plan za 202</w:t>
      </w:r>
      <w:r w:rsidR="00493BB9">
        <w:t>4</w:t>
      </w:r>
      <w:r w:rsidRPr="00BB4BF2">
        <w:t>. godinu</w:t>
      </w:r>
      <w:r w:rsidR="00CA19C2">
        <w:t>, a sastoje se od</w:t>
      </w:r>
    </w:p>
    <w:p w14:paraId="72052B61" w14:textId="78C5C569" w:rsidR="001C4242" w:rsidRPr="00BB4BF2" w:rsidRDefault="00CA19C2" w:rsidP="00CA19C2">
      <w:pPr>
        <w:ind w:left="708"/>
        <w:jc w:val="both"/>
        <w:rPr>
          <w:rFonts w:cstheme="minorHAnsi"/>
        </w:rPr>
      </w:pPr>
      <w:r>
        <w:rPr>
          <w:rFonts w:cstheme="minorHAnsi"/>
        </w:rPr>
        <w:t>sredst</w:t>
      </w:r>
      <w:r w:rsidR="00FC61D2">
        <w:rPr>
          <w:rFonts w:cstheme="minorHAnsi"/>
        </w:rPr>
        <w:t>ava</w:t>
      </w:r>
      <w:r>
        <w:rPr>
          <w:rFonts w:cstheme="minorHAnsi"/>
        </w:rPr>
        <w:t xml:space="preserve"> fiskalnog izravnanja </w:t>
      </w:r>
      <w:r w:rsidR="00FC61D2">
        <w:rPr>
          <w:rFonts w:cstheme="minorHAnsi"/>
        </w:rPr>
        <w:t>u iznosu od 420</w:t>
      </w:r>
      <w:r>
        <w:rPr>
          <w:rFonts w:cstheme="minorHAnsi"/>
        </w:rPr>
        <w:t>.</w:t>
      </w:r>
      <w:r w:rsidR="00FC61D2">
        <w:rPr>
          <w:rFonts w:cstheme="minorHAnsi"/>
        </w:rPr>
        <w:t xml:space="preserve">490,94 </w:t>
      </w:r>
      <w:r>
        <w:rPr>
          <w:rFonts w:cstheme="minorHAnsi"/>
        </w:rPr>
        <w:t xml:space="preserve">eura, </w:t>
      </w:r>
      <w:r w:rsidR="00FC61D2">
        <w:rPr>
          <w:rFonts w:cstheme="minorHAnsi"/>
        </w:rPr>
        <w:t xml:space="preserve"> </w:t>
      </w:r>
      <w:r>
        <w:rPr>
          <w:rFonts w:cstheme="minorHAnsi"/>
        </w:rPr>
        <w:t>sreds</w:t>
      </w:r>
      <w:r w:rsidR="00FC61D2">
        <w:rPr>
          <w:rFonts w:cstheme="minorHAnsi"/>
        </w:rPr>
        <w:t>tava</w:t>
      </w:r>
      <w:r>
        <w:rPr>
          <w:rFonts w:cstheme="minorHAnsi"/>
        </w:rPr>
        <w:t xml:space="preserve"> za fiskalnu održivost dječjih vrtića </w:t>
      </w:r>
      <w:r w:rsidR="00FC61D2">
        <w:rPr>
          <w:rFonts w:cstheme="minorHAnsi"/>
        </w:rPr>
        <w:t xml:space="preserve"> u iznosu od 96.693,00 eura</w:t>
      </w:r>
      <w:r>
        <w:rPr>
          <w:rFonts w:cstheme="minorHAnsi"/>
        </w:rPr>
        <w:t xml:space="preserve">, </w:t>
      </w:r>
      <w:r w:rsidR="00DC2CF0">
        <w:rPr>
          <w:rFonts w:cstheme="minorHAnsi"/>
        </w:rPr>
        <w:t>kapitaln</w:t>
      </w:r>
      <w:r w:rsidR="006716E0">
        <w:rPr>
          <w:rFonts w:cstheme="minorHAnsi"/>
        </w:rPr>
        <w:t>e</w:t>
      </w:r>
      <w:r w:rsidR="00DC2CF0">
        <w:rPr>
          <w:rFonts w:cstheme="minorHAnsi"/>
        </w:rPr>
        <w:t xml:space="preserve"> po</w:t>
      </w:r>
      <w:r w:rsidR="00132B29">
        <w:rPr>
          <w:rFonts w:cstheme="minorHAnsi"/>
        </w:rPr>
        <w:t>moć</w:t>
      </w:r>
      <w:r w:rsidR="006716E0">
        <w:rPr>
          <w:rFonts w:cstheme="minorHAnsi"/>
        </w:rPr>
        <w:t>i</w:t>
      </w:r>
      <w:r w:rsidR="00132B29">
        <w:rPr>
          <w:rFonts w:cstheme="minorHAnsi"/>
        </w:rPr>
        <w:t xml:space="preserve"> za NC 20</w:t>
      </w:r>
      <w:r w:rsidR="00DC2CF0">
        <w:rPr>
          <w:rFonts w:cstheme="minorHAnsi"/>
        </w:rPr>
        <w:t>40</w:t>
      </w:r>
      <w:r w:rsidR="00132B29">
        <w:rPr>
          <w:rFonts w:cstheme="minorHAnsi"/>
        </w:rPr>
        <w:t xml:space="preserve"> </w:t>
      </w:r>
      <w:proofErr w:type="spellStart"/>
      <w:r w:rsidR="00DC2CF0">
        <w:rPr>
          <w:rFonts w:cstheme="minorHAnsi"/>
        </w:rPr>
        <w:t>Grabrovnik</w:t>
      </w:r>
      <w:proofErr w:type="spellEnd"/>
      <w:r w:rsidR="00DC2CF0">
        <w:rPr>
          <w:rFonts w:cstheme="minorHAnsi"/>
        </w:rPr>
        <w:t xml:space="preserve"> (</w:t>
      </w:r>
      <w:proofErr w:type="spellStart"/>
      <w:r w:rsidR="00DC2CF0">
        <w:rPr>
          <w:rFonts w:cstheme="minorHAnsi"/>
        </w:rPr>
        <w:t>Arnuš</w:t>
      </w:r>
      <w:proofErr w:type="spellEnd"/>
      <w:r w:rsidR="00DC2CF0">
        <w:rPr>
          <w:rFonts w:cstheme="minorHAnsi"/>
        </w:rPr>
        <w:t>)</w:t>
      </w:r>
      <w:r w:rsidR="00132B29">
        <w:rPr>
          <w:rFonts w:cstheme="minorHAnsi"/>
        </w:rPr>
        <w:t xml:space="preserve"> u iznosu od </w:t>
      </w:r>
      <w:r w:rsidR="00DC2CF0">
        <w:rPr>
          <w:rFonts w:cstheme="minorHAnsi"/>
        </w:rPr>
        <w:t>40</w:t>
      </w:r>
      <w:r w:rsidR="00132B29">
        <w:rPr>
          <w:rFonts w:cstheme="minorHAnsi"/>
        </w:rPr>
        <w:t>.</w:t>
      </w:r>
      <w:r w:rsidR="00DC2CF0">
        <w:rPr>
          <w:rFonts w:cstheme="minorHAnsi"/>
        </w:rPr>
        <w:t>7</w:t>
      </w:r>
      <w:r w:rsidR="00132B29">
        <w:rPr>
          <w:rFonts w:cstheme="minorHAnsi"/>
        </w:rPr>
        <w:t>00,00 eura (Ministarstvo prostornoga uređenja, graditeljstva i državne imovine)</w:t>
      </w:r>
      <w:r w:rsidR="006716E0">
        <w:rPr>
          <w:rFonts w:cstheme="minorHAnsi"/>
        </w:rPr>
        <w:t xml:space="preserve"> i </w:t>
      </w:r>
      <w:r w:rsidR="00132B29">
        <w:rPr>
          <w:rFonts w:cstheme="minorHAnsi"/>
        </w:rPr>
        <w:t>kapitaln</w:t>
      </w:r>
      <w:r w:rsidR="006716E0">
        <w:rPr>
          <w:rFonts w:cstheme="minorHAnsi"/>
        </w:rPr>
        <w:t>e</w:t>
      </w:r>
      <w:r w:rsidR="00132B29">
        <w:rPr>
          <w:rFonts w:cstheme="minorHAnsi"/>
        </w:rPr>
        <w:t xml:space="preserve"> pomoć</w:t>
      </w:r>
      <w:r w:rsidR="006716E0">
        <w:rPr>
          <w:rFonts w:cstheme="minorHAnsi"/>
        </w:rPr>
        <w:t>i</w:t>
      </w:r>
      <w:r w:rsidR="00132B29">
        <w:rPr>
          <w:rFonts w:cstheme="minorHAnsi"/>
        </w:rPr>
        <w:t xml:space="preserve"> za izradu </w:t>
      </w:r>
      <w:r w:rsidR="00DC2CF0">
        <w:rPr>
          <w:rFonts w:cstheme="minorHAnsi"/>
        </w:rPr>
        <w:t>Rječnika štrigovske skupine govora u iznosu od 1.500,00 eura (</w:t>
      </w:r>
      <w:r w:rsidR="001B3228">
        <w:rPr>
          <w:rFonts w:cstheme="minorHAnsi"/>
        </w:rPr>
        <w:t>Ministarstvo kulture i medija RH).</w:t>
      </w:r>
      <w:r w:rsidR="00132B29">
        <w:rPr>
          <w:rFonts w:cstheme="minorHAnsi"/>
        </w:rPr>
        <w:t xml:space="preserve"> </w:t>
      </w:r>
    </w:p>
    <w:p w14:paraId="4B5E23B8" w14:textId="7E6B1279" w:rsidR="001C4242" w:rsidRPr="00BB4BF2" w:rsidRDefault="00000000">
      <w:pPr>
        <w:numPr>
          <w:ilvl w:val="0"/>
          <w:numId w:val="1"/>
        </w:numPr>
        <w:jc w:val="both"/>
        <w:rPr>
          <w:rFonts w:cstheme="minorHAnsi"/>
        </w:rPr>
      </w:pPr>
      <w:r w:rsidRPr="00BB4BF2">
        <w:rPr>
          <w:rFonts w:cstheme="minorHAnsi"/>
        </w:rPr>
        <w:t>pomoći od izvanproračunskih korisnika (634) ostvare</w:t>
      </w:r>
      <w:r w:rsidR="006716E0">
        <w:rPr>
          <w:rFonts w:cstheme="minorHAnsi"/>
        </w:rPr>
        <w:t>ne</w:t>
      </w:r>
      <w:r w:rsidRPr="00BB4BF2">
        <w:rPr>
          <w:rFonts w:cstheme="minorHAnsi"/>
        </w:rPr>
        <w:t xml:space="preserve"> su u iznosu od </w:t>
      </w:r>
      <w:r w:rsidR="001B3228">
        <w:rPr>
          <w:rFonts w:cstheme="minorHAnsi"/>
        </w:rPr>
        <w:t>90</w:t>
      </w:r>
      <w:r w:rsidR="001853EA" w:rsidRPr="00BB4BF2">
        <w:rPr>
          <w:rFonts w:cstheme="minorHAnsi"/>
        </w:rPr>
        <w:t>.</w:t>
      </w:r>
      <w:r w:rsidR="001B3228">
        <w:rPr>
          <w:rFonts w:cstheme="minorHAnsi"/>
        </w:rPr>
        <w:t>836</w:t>
      </w:r>
      <w:r w:rsidR="001853EA" w:rsidRPr="00BB4BF2">
        <w:rPr>
          <w:rFonts w:cstheme="minorHAnsi"/>
        </w:rPr>
        <w:t>,</w:t>
      </w:r>
      <w:r w:rsidR="001B3228">
        <w:rPr>
          <w:rFonts w:cstheme="minorHAnsi"/>
        </w:rPr>
        <w:t>94</w:t>
      </w:r>
      <w:r w:rsidRPr="00BB4BF2">
        <w:rPr>
          <w:rFonts w:cstheme="minorHAnsi"/>
        </w:rPr>
        <w:t xml:space="preserve"> eura ili </w:t>
      </w:r>
      <w:r w:rsidR="001B3228">
        <w:rPr>
          <w:rFonts w:cstheme="minorHAnsi"/>
        </w:rPr>
        <w:t>90</w:t>
      </w:r>
      <w:r w:rsidRPr="00BB4BF2">
        <w:rPr>
          <w:rFonts w:cstheme="minorHAnsi"/>
        </w:rPr>
        <w:t>,</w:t>
      </w:r>
      <w:r w:rsidR="001B3228">
        <w:rPr>
          <w:rFonts w:cstheme="minorHAnsi"/>
        </w:rPr>
        <w:t>84</w:t>
      </w:r>
      <w:r w:rsidRPr="00BB4BF2">
        <w:rPr>
          <w:rFonts w:cstheme="minorHAnsi"/>
        </w:rPr>
        <w:t>% u odnosu na godišnji plan za 202</w:t>
      </w:r>
      <w:r w:rsidR="001B3228">
        <w:rPr>
          <w:rFonts w:cstheme="minorHAnsi"/>
        </w:rPr>
        <w:t>4</w:t>
      </w:r>
      <w:r w:rsidRPr="00BB4BF2">
        <w:rPr>
          <w:rFonts w:cstheme="minorHAnsi"/>
        </w:rPr>
        <w:t>. godinu</w:t>
      </w:r>
      <w:r w:rsidR="00053FAA">
        <w:rPr>
          <w:rFonts w:cstheme="minorHAnsi"/>
        </w:rPr>
        <w:t xml:space="preserve">, a odnose se na </w:t>
      </w:r>
      <w:r w:rsidR="001B3228">
        <w:rPr>
          <w:rFonts w:cstheme="minorHAnsi"/>
        </w:rPr>
        <w:t>sredstva Hrvatskih voda za sanaciju klizišta.</w:t>
      </w:r>
    </w:p>
    <w:p w14:paraId="1ACD8850" w14:textId="3951A1A2" w:rsidR="00053FAA" w:rsidRDefault="00000000" w:rsidP="00053FAA">
      <w:pPr>
        <w:ind w:left="360"/>
        <w:jc w:val="both"/>
        <w:rPr>
          <w:rFonts w:cstheme="minorHAnsi"/>
        </w:rPr>
      </w:pPr>
      <w:r w:rsidRPr="00BB4BF2">
        <w:rPr>
          <w:rFonts w:cstheme="minorHAnsi"/>
        </w:rPr>
        <w:t xml:space="preserve">-      prihodi od financijske imovine (641) ostvareni su u iznosu od </w:t>
      </w:r>
      <w:r w:rsidR="001B3228">
        <w:rPr>
          <w:rFonts w:cstheme="minorHAnsi"/>
        </w:rPr>
        <w:t>37</w:t>
      </w:r>
      <w:r w:rsidR="00B61DD4" w:rsidRPr="00BB4BF2">
        <w:rPr>
          <w:rFonts w:cstheme="minorHAnsi"/>
        </w:rPr>
        <w:t>.</w:t>
      </w:r>
      <w:r w:rsidR="001B3228">
        <w:rPr>
          <w:rFonts w:cstheme="minorHAnsi"/>
        </w:rPr>
        <w:t>525</w:t>
      </w:r>
      <w:r w:rsidR="00B61DD4" w:rsidRPr="00BB4BF2">
        <w:rPr>
          <w:rFonts w:cstheme="minorHAnsi"/>
        </w:rPr>
        <w:t>,</w:t>
      </w:r>
      <w:r w:rsidR="001B3228">
        <w:rPr>
          <w:rFonts w:cstheme="minorHAnsi"/>
        </w:rPr>
        <w:t>67</w:t>
      </w:r>
      <w:r w:rsidRPr="00BB4BF2">
        <w:rPr>
          <w:rFonts w:cstheme="minorHAnsi"/>
        </w:rPr>
        <w:t xml:space="preserve"> eura ili </w:t>
      </w:r>
      <w:r w:rsidR="00B61DD4" w:rsidRPr="00BB4BF2">
        <w:rPr>
          <w:rFonts w:cstheme="minorHAnsi"/>
        </w:rPr>
        <w:t>99,</w:t>
      </w:r>
      <w:r w:rsidR="001B3228">
        <w:rPr>
          <w:rFonts w:cstheme="minorHAnsi"/>
        </w:rPr>
        <w:t>54</w:t>
      </w:r>
      <w:r w:rsidRPr="00BB4BF2">
        <w:rPr>
          <w:rFonts w:cstheme="minorHAnsi"/>
        </w:rPr>
        <w:t>% u odnosu na godišnji plan za 202</w:t>
      </w:r>
      <w:r w:rsidR="001B3228">
        <w:rPr>
          <w:rFonts w:cstheme="minorHAnsi"/>
        </w:rPr>
        <w:t>4</w:t>
      </w:r>
      <w:r w:rsidRPr="00BB4BF2">
        <w:rPr>
          <w:rFonts w:cstheme="minorHAnsi"/>
        </w:rPr>
        <w:t>. godinu</w:t>
      </w:r>
      <w:r w:rsidR="00053FAA">
        <w:rPr>
          <w:rFonts w:cstheme="minorHAnsi"/>
        </w:rPr>
        <w:t xml:space="preserve">, od čega je iznos od </w:t>
      </w:r>
      <w:r w:rsidR="001B3228">
        <w:rPr>
          <w:rFonts w:cstheme="minorHAnsi"/>
        </w:rPr>
        <w:t>1.525,67</w:t>
      </w:r>
      <w:r w:rsidR="00053FAA">
        <w:rPr>
          <w:rFonts w:cstheme="minorHAnsi"/>
        </w:rPr>
        <w:t xml:space="preserve"> eura     </w:t>
      </w:r>
    </w:p>
    <w:p w14:paraId="758D30DE" w14:textId="2E69DE85" w:rsidR="001C4242" w:rsidRPr="00BB4BF2" w:rsidRDefault="00053FAA" w:rsidP="00053FAA">
      <w:pPr>
        <w:jc w:val="both"/>
        <w:rPr>
          <w:rFonts w:cstheme="minorHAnsi"/>
        </w:rPr>
      </w:pPr>
      <w:r>
        <w:rPr>
          <w:rFonts w:cstheme="minorHAnsi"/>
        </w:rPr>
        <w:t xml:space="preserve">               pozitivna kamata, a </w:t>
      </w:r>
      <w:r w:rsidR="001B3228">
        <w:rPr>
          <w:rFonts w:cstheme="minorHAnsi"/>
        </w:rPr>
        <w:t>36</w:t>
      </w:r>
      <w:r>
        <w:rPr>
          <w:rFonts w:cstheme="minorHAnsi"/>
        </w:rPr>
        <w:t>.</w:t>
      </w:r>
      <w:r w:rsidR="001B3228">
        <w:rPr>
          <w:rFonts w:cstheme="minorHAnsi"/>
        </w:rPr>
        <w:t>000</w:t>
      </w:r>
      <w:r>
        <w:rPr>
          <w:rFonts w:cstheme="minorHAnsi"/>
        </w:rPr>
        <w:t>,</w:t>
      </w:r>
      <w:r w:rsidR="001B3228">
        <w:rPr>
          <w:rFonts w:cstheme="minorHAnsi"/>
        </w:rPr>
        <w:t>00</w:t>
      </w:r>
      <w:r>
        <w:rPr>
          <w:rFonts w:cstheme="minorHAnsi"/>
        </w:rPr>
        <w:t xml:space="preserve"> eura dividenda Međimurje plin.    </w:t>
      </w:r>
    </w:p>
    <w:p w14:paraId="04A7D2F9" w14:textId="0C7D3920" w:rsidR="00053FAA" w:rsidRDefault="001F4F37" w:rsidP="001F4F37">
      <w:r>
        <w:t xml:space="preserve">        </w:t>
      </w:r>
      <w:r w:rsidRPr="00BB4BF2">
        <w:t xml:space="preserve">- </w:t>
      </w:r>
      <w:r w:rsidR="00053FAA">
        <w:t xml:space="preserve">     </w:t>
      </w:r>
      <w:r w:rsidRPr="00BB4BF2">
        <w:t xml:space="preserve">prihodi od nefinancijske imovine  (642) ostvareni su u iznosu od </w:t>
      </w:r>
      <w:r w:rsidR="001B3228">
        <w:t>434</w:t>
      </w:r>
      <w:r w:rsidRPr="00BB4BF2">
        <w:t>.</w:t>
      </w:r>
      <w:r w:rsidR="001B3228">
        <w:t>483</w:t>
      </w:r>
      <w:r w:rsidRPr="00BB4BF2">
        <w:t>,</w:t>
      </w:r>
      <w:r w:rsidR="001B3228">
        <w:t>05</w:t>
      </w:r>
      <w:r w:rsidRPr="00BB4BF2">
        <w:t xml:space="preserve"> eura ili </w:t>
      </w:r>
      <w:r w:rsidR="00281338" w:rsidRPr="00BB4BF2">
        <w:t>10</w:t>
      </w:r>
      <w:r w:rsidR="001B3228">
        <w:t>1</w:t>
      </w:r>
      <w:r w:rsidRPr="00BB4BF2">
        <w:t>,</w:t>
      </w:r>
      <w:r w:rsidR="001B3228">
        <w:t>39</w:t>
      </w:r>
      <w:r w:rsidRPr="00BB4BF2">
        <w:t>% u odnosu na godišnji plan za 202</w:t>
      </w:r>
      <w:r w:rsidR="001B3228">
        <w:t>4</w:t>
      </w:r>
      <w:r w:rsidRPr="00BB4BF2">
        <w:t>. godinu,</w:t>
      </w:r>
      <w:r w:rsidR="00053FAA">
        <w:t xml:space="preserve"> a obuhvaćaju naknadu za   </w:t>
      </w:r>
    </w:p>
    <w:p w14:paraId="281916F5" w14:textId="4013C522" w:rsidR="00053FAA" w:rsidRDefault="00053FAA" w:rsidP="001F4F37">
      <w:r>
        <w:t xml:space="preserve">               koncesije u iznosu od </w:t>
      </w:r>
      <w:r w:rsidR="001B3228">
        <w:t>3</w:t>
      </w:r>
      <w:r>
        <w:t>.00</w:t>
      </w:r>
      <w:r w:rsidR="001B3228">
        <w:t>6</w:t>
      </w:r>
      <w:r>
        <w:t>,</w:t>
      </w:r>
      <w:r w:rsidR="001B3228">
        <w:t>18</w:t>
      </w:r>
      <w:r>
        <w:t xml:space="preserve"> eura, prihod od zakupa </w:t>
      </w:r>
      <w:proofErr w:type="spellStart"/>
      <w:r>
        <w:t>polj</w:t>
      </w:r>
      <w:proofErr w:type="spellEnd"/>
      <w:r>
        <w:t xml:space="preserve">. zemljišta i poslovnih prostora u iznosu od </w:t>
      </w:r>
      <w:r w:rsidR="001B3228">
        <w:t>5</w:t>
      </w:r>
      <w:r>
        <w:t>.</w:t>
      </w:r>
      <w:r w:rsidR="001B3228">
        <w:t>895</w:t>
      </w:r>
      <w:r>
        <w:t>,</w:t>
      </w:r>
      <w:r w:rsidR="001B3228">
        <w:t>57</w:t>
      </w:r>
      <w:r>
        <w:t xml:space="preserve"> eura i naknade za eksploataciju – plin i nafta   </w:t>
      </w:r>
    </w:p>
    <w:p w14:paraId="1A426300" w14:textId="3E55CEB4" w:rsidR="00D91EAF" w:rsidRDefault="00053FAA" w:rsidP="001F4F37">
      <w:r>
        <w:t xml:space="preserve">               </w:t>
      </w:r>
      <w:r w:rsidR="001B3228">
        <w:t>u iznosi od 415.640,96</w:t>
      </w:r>
      <w:r>
        <w:t xml:space="preserve"> eura, spomeničku rentu 1,</w:t>
      </w:r>
      <w:r w:rsidR="001B3228">
        <w:t>80</w:t>
      </w:r>
      <w:r>
        <w:t xml:space="preserve"> eura, ostale naknade za korištenje nef</w:t>
      </w:r>
      <w:r w:rsidR="001B3228">
        <w:t>inancijske</w:t>
      </w:r>
      <w:r>
        <w:t xml:space="preserve"> imovine </w:t>
      </w:r>
      <w:r w:rsidR="001B3228">
        <w:t>9</w:t>
      </w:r>
      <w:r>
        <w:t>.</w:t>
      </w:r>
      <w:r w:rsidR="001B3228">
        <w:t>723</w:t>
      </w:r>
      <w:r>
        <w:t>,</w:t>
      </w:r>
      <w:r w:rsidR="001B3228">
        <w:t>91</w:t>
      </w:r>
      <w:r>
        <w:t xml:space="preserve"> eura</w:t>
      </w:r>
      <w:r w:rsidR="00D91EAF">
        <w:t xml:space="preserve"> i ostale prihode od nefinancijske </w:t>
      </w:r>
    </w:p>
    <w:p w14:paraId="4498AB7C" w14:textId="5298788E" w:rsidR="001C4242" w:rsidRPr="00BB4BF2" w:rsidRDefault="00D91EAF" w:rsidP="00D91EAF">
      <w:pPr>
        <w:ind w:firstLine="708"/>
      </w:pPr>
      <w:r>
        <w:t>imovine u iznosu od 214,63 eura</w:t>
      </w:r>
      <w:r w:rsidR="00053FAA">
        <w:t xml:space="preserve">.  </w:t>
      </w:r>
    </w:p>
    <w:p w14:paraId="7C4CAE7A" w14:textId="19E8C2F6" w:rsidR="001F4F37" w:rsidRDefault="00000000" w:rsidP="001F4F37">
      <w:pPr>
        <w:ind w:left="360"/>
        <w:jc w:val="both"/>
        <w:rPr>
          <w:rFonts w:cstheme="minorHAnsi"/>
        </w:rPr>
      </w:pPr>
      <w:r w:rsidRPr="00BB4BF2">
        <w:rPr>
          <w:rFonts w:cstheme="minorHAnsi"/>
        </w:rPr>
        <w:t>-      upravne i administrativne pristojbe (651) ostvaren</w:t>
      </w:r>
      <w:r w:rsidR="006716E0">
        <w:rPr>
          <w:rFonts w:cstheme="minorHAnsi"/>
        </w:rPr>
        <w:t>e</w:t>
      </w:r>
      <w:r w:rsidRPr="00BB4BF2">
        <w:rPr>
          <w:rFonts w:cstheme="minorHAnsi"/>
        </w:rPr>
        <w:t xml:space="preserve"> su u iznosu od </w:t>
      </w:r>
      <w:r w:rsidR="00281338" w:rsidRPr="00BB4BF2">
        <w:rPr>
          <w:rFonts w:cstheme="minorHAnsi"/>
        </w:rPr>
        <w:t>16.</w:t>
      </w:r>
      <w:r w:rsidR="00D91EAF">
        <w:rPr>
          <w:rFonts w:cstheme="minorHAnsi"/>
        </w:rPr>
        <w:t>214,20</w:t>
      </w:r>
      <w:r w:rsidRPr="00BB4BF2">
        <w:rPr>
          <w:rFonts w:cstheme="minorHAnsi"/>
        </w:rPr>
        <w:t xml:space="preserve"> eura ili </w:t>
      </w:r>
      <w:r w:rsidR="00D91EAF">
        <w:rPr>
          <w:rFonts w:cstheme="minorHAnsi"/>
        </w:rPr>
        <w:t>83</w:t>
      </w:r>
      <w:r w:rsidR="00281338" w:rsidRPr="00BB4BF2">
        <w:rPr>
          <w:rFonts w:cstheme="minorHAnsi"/>
        </w:rPr>
        <w:t>,</w:t>
      </w:r>
      <w:r w:rsidR="00D91EAF">
        <w:rPr>
          <w:rFonts w:cstheme="minorHAnsi"/>
        </w:rPr>
        <w:t>09</w:t>
      </w:r>
      <w:r w:rsidRPr="00BB4BF2">
        <w:rPr>
          <w:rFonts w:cstheme="minorHAnsi"/>
        </w:rPr>
        <w:t>% u odnosu na godišnji plan za 202</w:t>
      </w:r>
      <w:r w:rsidR="00D91EAF">
        <w:rPr>
          <w:rFonts w:cstheme="minorHAnsi"/>
        </w:rPr>
        <w:t>4</w:t>
      </w:r>
      <w:r w:rsidRPr="00BB4BF2">
        <w:rPr>
          <w:rFonts w:cstheme="minorHAnsi"/>
        </w:rPr>
        <w:t>. godinu</w:t>
      </w:r>
      <w:r w:rsidR="00E33845">
        <w:rPr>
          <w:rFonts w:cstheme="minorHAnsi"/>
        </w:rPr>
        <w:t xml:space="preserve">, a odnose se na prihod od </w:t>
      </w:r>
      <w:r w:rsidR="001F4F37">
        <w:rPr>
          <w:rFonts w:cstheme="minorHAnsi"/>
        </w:rPr>
        <w:t xml:space="preserve">  </w:t>
      </w:r>
    </w:p>
    <w:p w14:paraId="2FF7912F" w14:textId="129514ED" w:rsidR="001C4242" w:rsidRPr="00BB4BF2" w:rsidRDefault="001F4F37" w:rsidP="001F4F37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D91EAF">
        <w:rPr>
          <w:rFonts w:cstheme="minorHAnsi"/>
        </w:rPr>
        <w:t xml:space="preserve"> upravnih pristojbi i prihod od </w:t>
      </w:r>
      <w:r w:rsidR="00E33845">
        <w:rPr>
          <w:rFonts w:cstheme="minorHAnsi"/>
        </w:rPr>
        <w:t xml:space="preserve">prodaje državnih biljega </w:t>
      </w:r>
      <w:r w:rsidR="00D91EAF">
        <w:rPr>
          <w:rFonts w:cstheme="minorHAnsi"/>
        </w:rPr>
        <w:t>13,28</w:t>
      </w:r>
      <w:r w:rsidR="00E33845">
        <w:rPr>
          <w:rFonts w:cstheme="minorHAnsi"/>
        </w:rPr>
        <w:t xml:space="preserve"> eura, godišnju grobnu naknadu 1</w:t>
      </w:r>
      <w:r w:rsidR="00D91EAF">
        <w:rPr>
          <w:rFonts w:cstheme="minorHAnsi"/>
        </w:rPr>
        <w:t>2</w:t>
      </w:r>
      <w:r w:rsidR="00E33845">
        <w:rPr>
          <w:rFonts w:cstheme="minorHAnsi"/>
        </w:rPr>
        <w:t>.</w:t>
      </w:r>
      <w:r w:rsidR="00D91EAF">
        <w:rPr>
          <w:rFonts w:cstheme="minorHAnsi"/>
        </w:rPr>
        <w:t>700</w:t>
      </w:r>
      <w:r w:rsidR="00E33845">
        <w:rPr>
          <w:rFonts w:cstheme="minorHAnsi"/>
        </w:rPr>
        <w:t>,</w:t>
      </w:r>
      <w:r w:rsidR="00D91EAF">
        <w:rPr>
          <w:rFonts w:cstheme="minorHAnsi"/>
        </w:rPr>
        <w:t>92</w:t>
      </w:r>
      <w:r w:rsidR="00E33845">
        <w:rPr>
          <w:rFonts w:cstheme="minorHAnsi"/>
        </w:rPr>
        <w:t xml:space="preserve"> eura, naknadu za ukop 3.</w:t>
      </w:r>
      <w:r w:rsidR="00D91EAF">
        <w:rPr>
          <w:rFonts w:cstheme="minorHAnsi"/>
        </w:rPr>
        <w:t>500</w:t>
      </w:r>
      <w:r w:rsidR="00E33845">
        <w:rPr>
          <w:rFonts w:cstheme="minorHAnsi"/>
        </w:rPr>
        <w:t>,</w:t>
      </w:r>
      <w:r w:rsidR="00D91EAF">
        <w:rPr>
          <w:rFonts w:cstheme="minorHAnsi"/>
        </w:rPr>
        <w:t>00</w:t>
      </w:r>
      <w:r w:rsidR="00E33845">
        <w:rPr>
          <w:rFonts w:cstheme="minorHAnsi"/>
        </w:rPr>
        <w:t xml:space="preserve"> eura. </w:t>
      </w:r>
    </w:p>
    <w:p w14:paraId="696EB6C4" w14:textId="2BC45D7D" w:rsidR="001F4F37" w:rsidRDefault="00000000">
      <w:pPr>
        <w:ind w:firstLine="360"/>
        <w:jc w:val="both"/>
        <w:rPr>
          <w:rFonts w:cstheme="minorHAnsi"/>
        </w:rPr>
      </w:pPr>
      <w:r w:rsidRPr="00BB4BF2">
        <w:rPr>
          <w:rFonts w:cstheme="minorHAnsi"/>
        </w:rPr>
        <w:t xml:space="preserve">-      prihodi po posebnim propisima (652) ostvareni su u iznosu od </w:t>
      </w:r>
      <w:r w:rsidR="00D91EAF">
        <w:rPr>
          <w:rFonts w:cstheme="minorHAnsi"/>
        </w:rPr>
        <w:t>24</w:t>
      </w:r>
      <w:r w:rsidR="00281338" w:rsidRPr="00BB4BF2">
        <w:rPr>
          <w:rFonts w:cstheme="minorHAnsi"/>
        </w:rPr>
        <w:t>.</w:t>
      </w:r>
      <w:r w:rsidR="00D91EAF">
        <w:rPr>
          <w:rFonts w:cstheme="minorHAnsi"/>
        </w:rPr>
        <w:t>244</w:t>
      </w:r>
      <w:r w:rsidR="00281338" w:rsidRPr="00BB4BF2">
        <w:rPr>
          <w:rFonts w:cstheme="minorHAnsi"/>
        </w:rPr>
        <w:t>,</w:t>
      </w:r>
      <w:r w:rsidR="00D91EAF">
        <w:rPr>
          <w:rFonts w:cstheme="minorHAnsi"/>
        </w:rPr>
        <w:t>06</w:t>
      </w:r>
      <w:r w:rsidRPr="00BB4BF2">
        <w:rPr>
          <w:rFonts w:cstheme="minorHAnsi"/>
        </w:rPr>
        <w:t xml:space="preserve"> eura ili </w:t>
      </w:r>
      <w:r w:rsidR="00C32ABB">
        <w:rPr>
          <w:rFonts w:cstheme="minorHAnsi"/>
        </w:rPr>
        <w:t>188</w:t>
      </w:r>
      <w:r w:rsidR="00D91EAF">
        <w:rPr>
          <w:rFonts w:cstheme="minorHAnsi"/>
        </w:rPr>
        <w:t>,</w:t>
      </w:r>
      <w:r w:rsidR="00C32ABB">
        <w:rPr>
          <w:rFonts w:cstheme="minorHAnsi"/>
        </w:rPr>
        <w:t>69</w:t>
      </w:r>
      <w:r w:rsidRPr="00BB4BF2">
        <w:rPr>
          <w:rFonts w:cstheme="minorHAnsi"/>
        </w:rPr>
        <w:t>% u odnosu na godišnji plan za 202</w:t>
      </w:r>
      <w:r w:rsidR="00D91EAF">
        <w:rPr>
          <w:rFonts w:cstheme="minorHAnsi"/>
        </w:rPr>
        <w:t>4</w:t>
      </w:r>
      <w:r w:rsidRPr="00BB4BF2">
        <w:rPr>
          <w:rFonts w:cstheme="minorHAnsi"/>
        </w:rPr>
        <w:t>. godinu,</w:t>
      </w:r>
      <w:r w:rsidR="00E33845" w:rsidRPr="00E33845">
        <w:rPr>
          <w:rFonts w:cstheme="minorHAnsi"/>
        </w:rPr>
        <w:t xml:space="preserve"> </w:t>
      </w:r>
      <w:r w:rsidR="00E33845">
        <w:rPr>
          <w:rFonts w:cstheme="minorHAnsi"/>
        </w:rPr>
        <w:t xml:space="preserve">a obuhvaćaju: vodni doprinos </w:t>
      </w:r>
      <w:r w:rsidR="001F4F37">
        <w:rPr>
          <w:rFonts w:cstheme="minorHAnsi"/>
        </w:rPr>
        <w:t xml:space="preserve">     </w:t>
      </w:r>
    </w:p>
    <w:p w14:paraId="47898972" w14:textId="333918C2" w:rsidR="001C4242" w:rsidRPr="00BB4BF2" w:rsidRDefault="001F4F37">
      <w:pPr>
        <w:ind w:firstLine="36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      </w:t>
      </w:r>
      <w:r w:rsidR="00C32ABB">
        <w:rPr>
          <w:rFonts w:cstheme="minorHAnsi"/>
        </w:rPr>
        <w:t>534</w:t>
      </w:r>
      <w:r w:rsidR="00E33845">
        <w:rPr>
          <w:rFonts w:cstheme="minorHAnsi"/>
        </w:rPr>
        <w:t>,</w:t>
      </w:r>
      <w:r w:rsidR="00C32ABB">
        <w:rPr>
          <w:rFonts w:cstheme="minorHAnsi"/>
        </w:rPr>
        <w:t>50</w:t>
      </w:r>
      <w:r w:rsidR="00E33845">
        <w:rPr>
          <w:rFonts w:cstheme="minorHAnsi"/>
        </w:rPr>
        <w:t xml:space="preserve"> eura, doprinos za šume </w:t>
      </w:r>
      <w:r w:rsidR="00C32ABB">
        <w:rPr>
          <w:rFonts w:cstheme="minorHAnsi"/>
        </w:rPr>
        <w:t>1.479,58</w:t>
      </w:r>
      <w:r w:rsidR="00E33845">
        <w:rPr>
          <w:rFonts w:cstheme="minorHAnsi"/>
        </w:rPr>
        <w:t xml:space="preserve"> eura, refundacija štete </w:t>
      </w:r>
      <w:r w:rsidR="00C32ABB">
        <w:rPr>
          <w:rFonts w:cstheme="minorHAnsi"/>
        </w:rPr>
        <w:t>671,73</w:t>
      </w:r>
      <w:r w:rsidR="00E33845">
        <w:rPr>
          <w:rFonts w:cstheme="minorHAnsi"/>
        </w:rPr>
        <w:t xml:space="preserve"> eura, ostali nespomenuti prihodi </w:t>
      </w:r>
      <w:r w:rsidR="00C32ABB">
        <w:rPr>
          <w:rFonts w:cstheme="minorHAnsi"/>
        </w:rPr>
        <w:t>21</w:t>
      </w:r>
      <w:r w:rsidR="00E33845">
        <w:rPr>
          <w:rFonts w:cstheme="minorHAnsi"/>
        </w:rPr>
        <w:t>.</w:t>
      </w:r>
      <w:r w:rsidR="00C32ABB">
        <w:rPr>
          <w:rFonts w:cstheme="minorHAnsi"/>
        </w:rPr>
        <w:t>558</w:t>
      </w:r>
      <w:r w:rsidR="00E33845">
        <w:rPr>
          <w:rFonts w:cstheme="minorHAnsi"/>
        </w:rPr>
        <w:t>,</w:t>
      </w:r>
      <w:r w:rsidR="00C32ABB">
        <w:rPr>
          <w:rFonts w:cstheme="minorHAnsi"/>
        </w:rPr>
        <w:t>25</w:t>
      </w:r>
      <w:r w:rsidR="00E33845">
        <w:rPr>
          <w:rFonts w:cstheme="minorHAnsi"/>
        </w:rPr>
        <w:t xml:space="preserve"> eura. </w:t>
      </w:r>
      <w:bookmarkStart w:id="2" w:name="_Hlk166752771"/>
    </w:p>
    <w:bookmarkEnd w:id="2"/>
    <w:p w14:paraId="5C9D609B" w14:textId="1A008C50" w:rsidR="00E33845" w:rsidRPr="00BB4BF2" w:rsidRDefault="00000000" w:rsidP="001F4F37">
      <w:pPr>
        <w:ind w:left="709" w:hanging="349"/>
        <w:jc w:val="both"/>
        <w:rPr>
          <w:rFonts w:cstheme="minorHAnsi"/>
        </w:rPr>
      </w:pPr>
      <w:r w:rsidRPr="00BB4BF2">
        <w:rPr>
          <w:rFonts w:cstheme="minorHAnsi"/>
        </w:rPr>
        <w:t xml:space="preserve">-      komunalni doprinosi i naknade (653) ostvareni su u iznosu od </w:t>
      </w:r>
      <w:r w:rsidR="00376581">
        <w:rPr>
          <w:rFonts w:cstheme="minorHAnsi"/>
        </w:rPr>
        <w:t>2</w:t>
      </w:r>
      <w:r w:rsidR="00C32ABB">
        <w:rPr>
          <w:rFonts w:cstheme="minorHAnsi"/>
        </w:rPr>
        <w:t>4</w:t>
      </w:r>
      <w:r w:rsidR="00376581">
        <w:rPr>
          <w:rFonts w:cstheme="minorHAnsi"/>
        </w:rPr>
        <w:t>.</w:t>
      </w:r>
      <w:r w:rsidR="00C32ABB">
        <w:rPr>
          <w:rFonts w:cstheme="minorHAnsi"/>
        </w:rPr>
        <w:t>739</w:t>
      </w:r>
      <w:r w:rsidR="00376581">
        <w:rPr>
          <w:rFonts w:cstheme="minorHAnsi"/>
        </w:rPr>
        <w:t>,</w:t>
      </w:r>
      <w:r w:rsidR="00C32ABB">
        <w:rPr>
          <w:rFonts w:cstheme="minorHAnsi"/>
        </w:rPr>
        <w:t>30</w:t>
      </w:r>
      <w:r w:rsidRPr="00BB4BF2">
        <w:rPr>
          <w:rFonts w:cstheme="minorHAnsi"/>
        </w:rPr>
        <w:t xml:space="preserve"> eura ili </w:t>
      </w:r>
      <w:r w:rsidR="00BB4BF2" w:rsidRPr="00BB4BF2">
        <w:rPr>
          <w:rFonts w:cstheme="minorHAnsi"/>
        </w:rPr>
        <w:t>9</w:t>
      </w:r>
      <w:r w:rsidR="006716E0">
        <w:rPr>
          <w:rFonts w:cstheme="minorHAnsi"/>
        </w:rPr>
        <w:t>1</w:t>
      </w:r>
      <w:r w:rsidR="00BB4BF2" w:rsidRPr="00BB4BF2">
        <w:rPr>
          <w:rFonts w:cstheme="minorHAnsi"/>
        </w:rPr>
        <w:t>,</w:t>
      </w:r>
      <w:r w:rsidR="006716E0">
        <w:rPr>
          <w:rFonts w:cstheme="minorHAnsi"/>
        </w:rPr>
        <w:t>63</w:t>
      </w:r>
      <w:r w:rsidRPr="00BB4BF2">
        <w:rPr>
          <w:rFonts w:cstheme="minorHAnsi"/>
        </w:rPr>
        <w:t>% u odnosu na godišnji plan za 202</w:t>
      </w:r>
      <w:r w:rsidR="00C32ABB">
        <w:rPr>
          <w:rFonts w:cstheme="minorHAnsi"/>
        </w:rPr>
        <w:t>4</w:t>
      </w:r>
      <w:r w:rsidRPr="00BB4BF2">
        <w:rPr>
          <w:rFonts w:cstheme="minorHAnsi"/>
        </w:rPr>
        <w:t>. godinu,</w:t>
      </w:r>
      <w:r w:rsidR="00E33845">
        <w:rPr>
          <w:rFonts w:cstheme="minorHAnsi"/>
        </w:rPr>
        <w:t xml:space="preserve"> od čega komunalni doprinos iznosi  </w:t>
      </w:r>
      <w:r w:rsidR="001F4F37">
        <w:rPr>
          <w:rFonts w:cstheme="minorHAnsi"/>
        </w:rPr>
        <w:t xml:space="preserve"> </w:t>
      </w:r>
      <w:r w:rsidR="00C32ABB">
        <w:rPr>
          <w:rFonts w:cstheme="minorHAnsi"/>
        </w:rPr>
        <w:t>7</w:t>
      </w:r>
      <w:r w:rsidR="00E33845">
        <w:rPr>
          <w:rFonts w:cstheme="minorHAnsi"/>
        </w:rPr>
        <w:t>.7</w:t>
      </w:r>
      <w:r w:rsidR="00C32ABB">
        <w:rPr>
          <w:rFonts w:cstheme="minorHAnsi"/>
        </w:rPr>
        <w:t>87</w:t>
      </w:r>
      <w:r w:rsidR="00E33845">
        <w:rPr>
          <w:rFonts w:cstheme="minorHAnsi"/>
        </w:rPr>
        <w:t>,</w:t>
      </w:r>
      <w:r w:rsidR="00C32ABB">
        <w:rPr>
          <w:rFonts w:cstheme="minorHAnsi"/>
        </w:rPr>
        <w:t>85</w:t>
      </w:r>
      <w:r w:rsidR="00E33845">
        <w:rPr>
          <w:rFonts w:cstheme="minorHAnsi"/>
        </w:rPr>
        <w:t xml:space="preserve"> eura i komunalna naknada 1</w:t>
      </w:r>
      <w:r w:rsidR="00C32ABB">
        <w:rPr>
          <w:rFonts w:cstheme="minorHAnsi"/>
        </w:rPr>
        <w:t>6</w:t>
      </w:r>
      <w:r w:rsidR="00E33845">
        <w:rPr>
          <w:rFonts w:cstheme="minorHAnsi"/>
        </w:rPr>
        <w:t>.</w:t>
      </w:r>
      <w:r w:rsidR="00C32ABB">
        <w:rPr>
          <w:rFonts w:cstheme="minorHAnsi"/>
        </w:rPr>
        <w:t>951</w:t>
      </w:r>
      <w:r w:rsidR="00E33845">
        <w:rPr>
          <w:rFonts w:cstheme="minorHAnsi"/>
        </w:rPr>
        <w:t>,</w:t>
      </w:r>
      <w:r w:rsidR="00C32ABB">
        <w:rPr>
          <w:rFonts w:cstheme="minorHAnsi"/>
        </w:rPr>
        <w:t>45</w:t>
      </w:r>
      <w:r w:rsidR="00E33845">
        <w:rPr>
          <w:rFonts w:cstheme="minorHAnsi"/>
        </w:rPr>
        <w:t xml:space="preserve"> eura.   </w:t>
      </w:r>
    </w:p>
    <w:p w14:paraId="541321F4" w14:textId="3773D527" w:rsidR="001C4242" w:rsidRPr="00BB4BF2" w:rsidRDefault="00000000" w:rsidP="001F4F37">
      <w:pPr>
        <w:ind w:left="709" w:hanging="349"/>
        <w:jc w:val="both"/>
        <w:rPr>
          <w:rFonts w:cstheme="minorHAnsi"/>
        </w:rPr>
      </w:pPr>
      <w:r w:rsidRPr="00BB4BF2">
        <w:rPr>
          <w:rFonts w:cstheme="minorHAnsi"/>
        </w:rPr>
        <w:t xml:space="preserve">-      prihodi od prodaje proizvoda i robe te pruženih usluga (661) ostvareni su u iznosu od </w:t>
      </w:r>
      <w:r w:rsidR="003A5F37">
        <w:rPr>
          <w:rFonts w:cstheme="minorHAnsi"/>
        </w:rPr>
        <w:t>2</w:t>
      </w:r>
      <w:r w:rsidR="00BB4BF2" w:rsidRPr="00BB4BF2">
        <w:rPr>
          <w:rFonts w:cstheme="minorHAnsi"/>
        </w:rPr>
        <w:t>.</w:t>
      </w:r>
      <w:r w:rsidR="003A5F37">
        <w:rPr>
          <w:rFonts w:cstheme="minorHAnsi"/>
        </w:rPr>
        <w:t>222</w:t>
      </w:r>
      <w:r w:rsidR="00BB4BF2" w:rsidRPr="00BB4BF2">
        <w:rPr>
          <w:rFonts w:cstheme="minorHAnsi"/>
        </w:rPr>
        <w:t>,</w:t>
      </w:r>
      <w:r w:rsidR="003A5F37">
        <w:rPr>
          <w:rFonts w:cstheme="minorHAnsi"/>
        </w:rPr>
        <w:t>74</w:t>
      </w:r>
      <w:r w:rsidRPr="00BB4BF2">
        <w:rPr>
          <w:rFonts w:cstheme="minorHAnsi"/>
        </w:rPr>
        <w:t xml:space="preserve"> eura ili </w:t>
      </w:r>
      <w:r w:rsidR="00BB4BF2" w:rsidRPr="00BB4BF2">
        <w:rPr>
          <w:rFonts w:cstheme="minorHAnsi"/>
        </w:rPr>
        <w:t>100</w:t>
      </w:r>
      <w:r w:rsidRPr="00BB4BF2">
        <w:rPr>
          <w:rFonts w:cstheme="minorHAnsi"/>
        </w:rPr>
        <w:t>,</w:t>
      </w:r>
      <w:r w:rsidR="00BB4BF2" w:rsidRPr="00BB4BF2">
        <w:rPr>
          <w:rFonts w:cstheme="minorHAnsi"/>
        </w:rPr>
        <w:t>00</w:t>
      </w:r>
      <w:r w:rsidRPr="00BB4BF2">
        <w:rPr>
          <w:rFonts w:cstheme="minorHAnsi"/>
        </w:rPr>
        <w:t>% u odnosu na godišnji plan za 202</w:t>
      </w:r>
      <w:r w:rsidR="003A5F37">
        <w:rPr>
          <w:rFonts w:cstheme="minorHAnsi"/>
        </w:rPr>
        <w:t>4</w:t>
      </w:r>
      <w:r w:rsidRPr="00BB4BF2">
        <w:rPr>
          <w:rFonts w:cstheme="minorHAnsi"/>
        </w:rPr>
        <w:t>. godinu</w:t>
      </w:r>
      <w:r w:rsidR="00E33845">
        <w:rPr>
          <w:rFonts w:cstheme="minorHAnsi"/>
        </w:rPr>
        <w:t>, a odnose se na naknadu za vođenje naplate naknade za uređenje voda</w:t>
      </w:r>
      <w:r w:rsidRPr="00BB4BF2">
        <w:rPr>
          <w:rFonts w:cstheme="minorHAnsi"/>
        </w:rPr>
        <w:t>.</w:t>
      </w:r>
    </w:p>
    <w:p w14:paraId="7D0A7E42" w14:textId="77777777" w:rsidR="001C4242" w:rsidRPr="00BB4BF2" w:rsidRDefault="00000000">
      <w:pPr>
        <w:jc w:val="both"/>
        <w:rPr>
          <w:rFonts w:cstheme="minorHAnsi"/>
          <w:b/>
          <w:bCs/>
        </w:rPr>
      </w:pPr>
      <w:r w:rsidRPr="00BB4BF2">
        <w:rPr>
          <w:rFonts w:cstheme="minorHAnsi"/>
          <w:b/>
          <w:bCs/>
        </w:rPr>
        <w:t>Prikaz ostvarenja prihoda od prodaje nefinancijske imovine:</w:t>
      </w:r>
    </w:p>
    <w:p w14:paraId="33244714" w14:textId="471F98C8" w:rsidR="001F4F37" w:rsidRPr="001F4F37" w:rsidRDefault="00000000" w:rsidP="001F4F37">
      <w:pPr>
        <w:numPr>
          <w:ilvl w:val="0"/>
          <w:numId w:val="1"/>
        </w:numPr>
        <w:jc w:val="both"/>
        <w:rPr>
          <w:rFonts w:cstheme="minorHAnsi"/>
        </w:rPr>
      </w:pPr>
      <w:r w:rsidRPr="00BB4BF2">
        <w:rPr>
          <w:rFonts w:cstheme="minorHAnsi"/>
        </w:rPr>
        <w:t xml:space="preserve">prihodi od prodaje građevinskih objekata (721) ostvareni su u iznosu od </w:t>
      </w:r>
      <w:r w:rsidR="003A5F37">
        <w:rPr>
          <w:rFonts w:cstheme="minorHAnsi"/>
        </w:rPr>
        <w:t>19.085,91</w:t>
      </w:r>
      <w:r w:rsidRPr="00BB4BF2">
        <w:rPr>
          <w:rFonts w:cstheme="minorHAnsi"/>
        </w:rPr>
        <w:t xml:space="preserve"> eura ili </w:t>
      </w:r>
      <w:r w:rsidR="00BB4BF2" w:rsidRPr="00BB4BF2">
        <w:rPr>
          <w:rFonts w:cstheme="minorHAnsi"/>
        </w:rPr>
        <w:t>99</w:t>
      </w:r>
      <w:r w:rsidRPr="00BB4BF2">
        <w:rPr>
          <w:rFonts w:cstheme="minorHAnsi"/>
        </w:rPr>
        <w:t>,</w:t>
      </w:r>
      <w:r w:rsidR="003A5F37">
        <w:rPr>
          <w:rFonts w:cstheme="minorHAnsi"/>
        </w:rPr>
        <w:t>89</w:t>
      </w:r>
      <w:r w:rsidRPr="00BB4BF2">
        <w:rPr>
          <w:rFonts w:cstheme="minorHAnsi"/>
        </w:rPr>
        <w:t>% u odnosu na godišnji plan za 202</w:t>
      </w:r>
      <w:r w:rsidR="003A5F37">
        <w:rPr>
          <w:rFonts w:cstheme="minorHAnsi"/>
        </w:rPr>
        <w:t>4</w:t>
      </w:r>
      <w:r w:rsidRPr="00BB4BF2">
        <w:rPr>
          <w:rFonts w:cstheme="minorHAnsi"/>
        </w:rPr>
        <w:t>. godinu</w:t>
      </w:r>
      <w:r w:rsidR="001F4F37">
        <w:rPr>
          <w:rFonts w:cstheme="minorHAnsi"/>
        </w:rPr>
        <w:t xml:space="preserve"> ,</w:t>
      </w:r>
      <w:r w:rsidR="003A5F37">
        <w:rPr>
          <w:rFonts w:cstheme="minorHAnsi"/>
        </w:rPr>
        <w:t xml:space="preserve"> </w:t>
      </w:r>
      <w:r w:rsidR="001F4F37">
        <w:rPr>
          <w:rFonts w:cstheme="minorHAnsi"/>
        </w:rPr>
        <w:t xml:space="preserve">a odnose se na prihod od prodaje stanova bivše općine Čakovec </w:t>
      </w:r>
      <w:r w:rsidR="00F904DF">
        <w:rPr>
          <w:rFonts w:cstheme="minorHAnsi"/>
        </w:rPr>
        <w:t>778,83</w:t>
      </w:r>
      <w:r w:rsidR="001F4F37">
        <w:rPr>
          <w:rFonts w:cstheme="minorHAnsi"/>
        </w:rPr>
        <w:t xml:space="preserve"> eura,</w:t>
      </w:r>
      <w:r w:rsidR="00F904DF">
        <w:rPr>
          <w:rFonts w:cstheme="minorHAnsi"/>
        </w:rPr>
        <w:t xml:space="preserve"> prihoda od prodaje </w:t>
      </w:r>
      <w:r w:rsidR="007C5110">
        <w:rPr>
          <w:rFonts w:cstheme="minorHAnsi"/>
        </w:rPr>
        <w:t xml:space="preserve">suvlasničkog udjela u stambenoj obiteljskoj kući u iznosu od 12.600,00 eura </w:t>
      </w:r>
      <w:r w:rsidR="00F904DF">
        <w:rPr>
          <w:rFonts w:cstheme="minorHAnsi"/>
        </w:rPr>
        <w:t xml:space="preserve">i prihoda od </w:t>
      </w:r>
      <w:r w:rsidR="001F4F37">
        <w:rPr>
          <w:rFonts w:cstheme="minorHAnsi"/>
        </w:rPr>
        <w:t xml:space="preserve">prodaje poslovnog prostora na adresi Štrigova 88a u iznosu od </w:t>
      </w:r>
      <w:r w:rsidR="00F904DF">
        <w:rPr>
          <w:rFonts w:cstheme="minorHAnsi"/>
        </w:rPr>
        <w:t>5</w:t>
      </w:r>
      <w:r w:rsidR="001F4F37">
        <w:rPr>
          <w:rFonts w:cstheme="minorHAnsi"/>
        </w:rPr>
        <w:t>.</w:t>
      </w:r>
      <w:r w:rsidR="00F904DF">
        <w:rPr>
          <w:rFonts w:cstheme="minorHAnsi"/>
        </w:rPr>
        <w:t>707,</w:t>
      </w:r>
      <w:r w:rsidR="001F4F37">
        <w:rPr>
          <w:rFonts w:cstheme="minorHAnsi"/>
        </w:rPr>
        <w:t>0</w:t>
      </w:r>
      <w:r w:rsidR="00F904DF">
        <w:rPr>
          <w:rFonts w:cstheme="minorHAnsi"/>
        </w:rPr>
        <w:t>8</w:t>
      </w:r>
      <w:r w:rsidR="001F4F37">
        <w:rPr>
          <w:rFonts w:cstheme="minorHAnsi"/>
        </w:rPr>
        <w:t xml:space="preserve"> eura</w:t>
      </w:r>
      <w:r w:rsidR="007C5110">
        <w:rPr>
          <w:rFonts w:cstheme="minorHAnsi"/>
        </w:rPr>
        <w:t>.</w:t>
      </w:r>
      <w:r w:rsidR="001F4F37">
        <w:rPr>
          <w:rFonts w:cstheme="minorHAnsi"/>
        </w:rPr>
        <w:t xml:space="preserve">   </w:t>
      </w:r>
    </w:p>
    <w:p w14:paraId="14445304" w14:textId="77777777" w:rsidR="001C4242" w:rsidRPr="00F34E9A" w:rsidRDefault="00000000">
      <w:pPr>
        <w:jc w:val="both"/>
        <w:rPr>
          <w:rFonts w:cstheme="minorHAnsi"/>
          <w:b/>
        </w:rPr>
      </w:pPr>
      <w:r w:rsidRPr="00F34E9A">
        <w:rPr>
          <w:rFonts w:cstheme="minorHAnsi"/>
          <w:b/>
        </w:rPr>
        <w:t>PRIKAZ OSTVARENOG MANJKA ODNOSNO VIŠKA PRORAČUNA U IZVJEŠTAJNOM RAZDOBLJU</w:t>
      </w:r>
    </w:p>
    <w:p w14:paraId="1C3184CA" w14:textId="5A5153EF" w:rsidR="001C4242" w:rsidRPr="00F34E9A" w:rsidRDefault="00000000">
      <w:pPr>
        <w:jc w:val="both"/>
        <w:rPr>
          <w:rFonts w:cstheme="minorHAnsi"/>
          <w:bCs/>
        </w:rPr>
      </w:pPr>
      <w:r w:rsidRPr="00F34E9A">
        <w:rPr>
          <w:rFonts w:cstheme="minorHAnsi"/>
          <w:bCs/>
        </w:rPr>
        <w:t xml:space="preserve">U izvještajnom razdoblju ostvareni su ukupni prihodi u iznosu od </w:t>
      </w:r>
      <w:r w:rsidR="005A296F" w:rsidRPr="00F34E9A">
        <w:rPr>
          <w:rFonts w:cstheme="minorHAnsi"/>
          <w:bCs/>
        </w:rPr>
        <w:t>2.</w:t>
      </w:r>
      <w:r w:rsidR="00214D24">
        <w:rPr>
          <w:rFonts w:cstheme="minorHAnsi"/>
          <w:bCs/>
        </w:rPr>
        <w:t>143</w:t>
      </w:r>
      <w:r w:rsidR="005A296F" w:rsidRPr="00F34E9A">
        <w:rPr>
          <w:rFonts w:cstheme="minorHAnsi"/>
          <w:bCs/>
        </w:rPr>
        <w:t>.</w:t>
      </w:r>
      <w:r w:rsidR="00214D24">
        <w:rPr>
          <w:rFonts w:cstheme="minorHAnsi"/>
          <w:bCs/>
        </w:rPr>
        <w:t>021</w:t>
      </w:r>
      <w:r w:rsidR="005A296F" w:rsidRPr="00F34E9A">
        <w:rPr>
          <w:rFonts w:cstheme="minorHAnsi"/>
          <w:bCs/>
        </w:rPr>
        <w:t>,</w:t>
      </w:r>
      <w:r w:rsidR="00214D24">
        <w:rPr>
          <w:rFonts w:cstheme="minorHAnsi"/>
          <w:bCs/>
        </w:rPr>
        <w:t>33</w:t>
      </w:r>
      <w:r w:rsidRPr="00F34E9A">
        <w:rPr>
          <w:rFonts w:cstheme="minorHAnsi"/>
          <w:bCs/>
        </w:rPr>
        <w:t xml:space="preserve"> eura, a rashodi izvršeni u iznosu od </w:t>
      </w:r>
      <w:r w:rsidR="005A296F" w:rsidRPr="00F34E9A">
        <w:rPr>
          <w:rFonts w:cstheme="minorHAnsi"/>
          <w:bCs/>
        </w:rPr>
        <w:t>2.</w:t>
      </w:r>
      <w:r w:rsidR="00214D24">
        <w:rPr>
          <w:rFonts w:cstheme="minorHAnsi"/>
          <w:bCs/>
        </w:rPr>
        <w:t>463</w:t>
      </w:r>
      <w:r w:rsidR="005A296F" w:rsidRPr="00F34E9A">
        <w:rPr>
          <w:rFonts w:cstheme="minorHAnsi"/>
          <w:bCs/>
        </w:rPr>
        <w:t>.</w:t>
      </w:r>
      <w:r w:rsidR="00214D24">
        <w:rPr>
          <w:rFonts w:cstheme="minorHAnsi"/>
          <w:bCs/>
        </w:rPr>
        <w:t>713,66</w:t>
      </w:r>
      <w:r w:rsidR="005A296F" w:rsidRPr="00F34E9A">
        <w:rPr>
          <w:rFonts w:cstheme="minorHAnsi"/>
          <w:bCs/>
        </w:rPr>
        <w:t xml:space="preserve"> eura</w:t>
      </w:r>
      <w:r w:rsidRPr="00F34E9A">
        <w:rPr>
          <w:rFonts w:cstheme="minorHAnsi"/>
          <w:bCs/>
        </w:rPr>
        <w:t xml:space="preserve">. Razlika između prihoda i rashoda za izvještajno razdoblje predstavlja </w:t>
      </w:r>
      <w:r w:rsidR="00214D24">
        <w:rPr>
          <w:rFonts w:cstheme="minorHAnsi"/>
          <w:bCs/>
        </w:rPr>
        <w:t>manjak</w:t>
      </w:r>
      <w:r w:rsidRPr="00F34E9A">
        <w:rPr>
          <w:rFonts w:cstheme="minorHAnsi"/>
          <w:bCs/>
        </w:rPr>
        <w:t xml:space="preserve"> u iznosu od </w:t>
      </w:r>
      <w:r w:rsidR="00214D24">
        <w:rPr>
          <w:rFonts w:cstheme="minorHAnsi"/>
          <w:bCs/>
        </w:rPr>
        <w:t>320</w:t>
      </w:r>
      <w:r w:rsidR="005A296F" w:rsidRPr="00F34E9A">
        <w:rPr>
          <w:rFonts w:cstheme="minorHAnsi"/>
          <w:bCs/>
        </w:rPr>
        <w:t>.</w:t>
      </w:r>
      <w:r w:rsidR="00214D24">
        <w:rPr>
          <w:rFonts w:cstheme="minorHAnsi"/>
          <w:bCs/>
        </w:rPr>
        <w:t>692,33</w:t>
      </w:r>
      <w:r w:rsidRPr="00F34E9A">
        <w:rPr>
          <w:rFonts w:cstheme="minorHAnsi"/>
          <w:bCs/>
        </w:rPr>
        <w:t xml:space="preserve"> eura. Sa prenesenim viškom iz prethodne godine u iznosu od 1.</w:t>
      </w:r>
      <w:r w:rsidR="00214D24">
        <w:rPr>
          <w:rFonts w:cstheme="minorHAnsi"/>
          <w:bCs/>
        </w:rPr>
        <w:t>373</w:t>
      </w:r>
      <w:r w:rsidRPr="00F34E9A">
        <w:rPr>
          <w:rFonts w:cstheme="minorHAnsi"/>
          <w:bCs/>
        </w:rPr>
        <w:t>.092,27 eura ukupni rezultat</w:t>
      </w:r>
      <w:r w:rsidR="00F34E9A" w:rsidRPr="00F34E9A">
        <w:rPr>
          <w:rFonts w:cstheme="minorHAnsi"/>
          <w:bCs/>
        </w:rPr>
        <w:t xml:space="preserve"> je višak u iznosu od 1.</w:t>
      </w:r>
      <w:r w:rsidR="00214D24">
        <w:rPr>
          <w:rFonts w:cstheme="minorHAnsi"/>
          <w:bCs/>
        </w:rPr>
        <w:t>052</w:t>
      </w:r>
      <w:r w:rsidR="00F34E9A" w:rsidRPr="00F34E9A">
        <w:rPr>
          <w:rFonts w:cstheme="minorHAnsi"/>
          <w:bCs/>
        </w:rPr>
        <w:t>.</w:t>
      </w:r>
      <w:r w:rsidR="00214D24">
        <w:rPr>
          <w:rFonts w:cstheme="minorHAnsi"/>
          <w:bCs/>
        </w:rPr>
        <w:t>587</w:t>
      </w:r>
      <w:r w:rsidR="00F34E9A" w:rsidRPr="00F34E9A">
        <w:rPr>
          <w:rFonts w:cstheme="minorHAnsi"/>
          <w:bCs/>
        </w:rPr>
        <w:t>,</w:t>
      </w:r>
      <w:r w:rsidR="00214D24">
        <w:rPr>
          <w:rFonts w:cstheme="minorHAnsi"/>
          <w:bCs/>
        </w:rPr>
        <w:t>72</w:t>
      </w:r>
      <w:r w:rsidR="00F34E9A" w:rsidRPr="00F34E9A">
        <w:rPr>
          <w:rFonts w:cstheme="minorHAnsi"/>
          <w:bCs/>
        </w:rPr>
        <w:t xml:space="preserve"> eura.  </w:t>
      </w:r>
      <w:r w:rsidRPr="00F34E9A">
        <w:rPr>
          <w:rFonts w:cstheme="minorHAnsi"/>
          <w:bCs/>
        </w:rPr>
        <w:t xml:space="preserve"> </w:t>
      </w:r>
    </w:p>
    <w:p w14:paraId="32C00609" w14:textId="77777777" w:rsidR="001C4242" w:rsidRPr="00DB1B9E" w:rsidRDefault="00000000">
      <w:pPr>
        <w:jc w:val="both"/>
        <w:rPr>
          <w:rFonts w:cstheme="minorHAnsi"/>
          <w:b/>
          <w:bCs/>
        </w:rPr>
      </w:pPr>
      <w:r w:rsidRPr="00DB1B9E">
        <w:rPr>
          <w:rFonts w:cstheme="minorHAnsi"/>
          <w:bCs/>
        </w:rPr>
        <w:t xml:space="preserve">            </w:t>
      </w:r>
      <w:r w:rsidRPr="00DB1B9E">
        <w:rPr>
          <w:rFonts w:cstheme="minorHAnsi"/>
          <w:b/>
        </w:rPr>
        <w:t xml:space="preserve"> RASHODI</w:t>
      </w:r>
    </w:p>
    <w:p w14:paraId="0BB45A25" w14:textId="384F60BF" w:rsidR="001C4242" w:rsidRPr="00DB1B9E" w:rsidRDefault="00000000">
      <w:pPr>
        <w:jc w:val="both"/>
        <w:rPr>
          <w:rFonts w:cstheme="minorHAnsi"/>
        </w:rPr>
      </w:pPr>
      <w:r w:rsidRPr="00DB1B9E">
        <w:rPr>
          <w:rFonts w:cstheme="minorHAnsi"/>
          <w:b/>
        </w:rPr>
        <w:tab/>
      </w:r>
      <w:r w:rsidRPr="00DB1B9E">
        <w:rPr>
          <w:rFonts w:cstheme="minorHAnsi"/>
          <w:bCs/>
        </w:rPr>
        <w:t>Uku</w:t>
      </w:r>
      <w:r w:rsidRPr="00DB1B9E">
        <w:rPr>
          <w:rFonts w:cstheme="minorHAnsi"/>
        </w:rPr>
        <w:t>pni rashodi planirani su u iznosu od 3.</w:t>
      </w:r>
      <w:r w:rsidR="00214D24">
        <w:rPr>
          <w:rFonts w:cstheme="minorHAnsi"/>
        </w:rPr>
        <w:t>478</w:t>
      </w:r>
      <w:r w:rsidR="00DB1B9E" w:rsidRPr="00DB1B9E">
        <w:rPr>
          <w:rFonts w:cstheme="minorHAnsi"/>
        </w:rPr>
        <w:t>.</w:t>
      </w:r>
      <w:r w:rsidR="00214D24">
        <w:rPr>
          <w:rFonts w:cstheme="minorHAnsi"/>
        </w:rPr>
        <w:t>000</w:t>
      </w:r>
      <w:r w:rsidR="00DB1B9E" w:rsidRPr="00DB1B9E">
        <w:rPr>
          <w:rFonts w:cstheme="minorHAnsi"/>
        </w:rPr>
        <w:t>,</w:t>
      </w:r>
      <w:r w:rsidR="00214D24">
        <w:rPr>
          <w:rFonts w:cstheme="minorHAnsi"/>
        </w:rPr>
        <w:t>00</w:t>
      </w:r>
      <w:r w:rsidRPr="00DB1B9E">
        <w:rPr>
          <w:rFonts w:cstheme="minorHAnsi"/>
        </w:rPr>
        <w:t xml:space="preserve"> eura, a ostvareni u iznosu od </w:t>
      </w:r>
      <w:r w:rsidR="00DB1B9E" w:rsidRPr="00DB1B9E">
        <w:rPr>
          <w:rFonts w:cstheme="minorHAnsi"/>
        </w:rPr>
        <w:t>2.</w:t>
      </w:r>
      <w:r w:rsidR="00214D24">
        <w:rPr>
          <w:rFonts w:cstheme="minorHAnsi"/>
        </w:rPr>
        <w:t>463</w:t>
      </w:r>
      <w:r w:rsidR="00DB1B9E" w:rsidRPr="00DB1B9E">
        <w:rPr>
          <w:rFonts w:cstheme="minorHAnsi"/>
        </w:rPr>
        <w:t>.</w:t>
      </w:r>
      <w:r w:rsidR="00214D24">
        <w:rPr>
          <w:rFonts w:cstheme="minorHAnsi"/>
        </w:rPr>
        <w:t>713</w:t>
      </w:r>
      <w:r w:rsidR="00DB1B9E" w:rsidRPr="00DB1B9E">
        <w:rPr>
          <w:rFonts w:cstheme="minorHAnsi"/>
        </w:rPr>
        <w:t>,</w:t>
      </w:r>
      <w:r w:rsidR="00214D24">
        <w:rPr>
          <w:rFonts w:cstheme="minorHAnsi"/>
        </w:rPr>
        <w:t>66</w:t>
      </w:r>
      <w:r w:rsidRPr="00DB1B9E">
        <w:rPr>
          <w:rFonts w:cstheme="minorHAnsi"/>
        </w:rPr>
        <w:t xml:space="preserve"> eura ili </w:t>
      </w:r>
      <w:r w:rsidR="00214D24">
        <w:rPr>
          <w:rFonts w:cstheme="minorHAnsi"/>
        </w:rPr>
        <w:t>70</w:t>
      </w:r>
      <w:r w:rsidRPr="00DB1B9E">
        <w:rPr>
          <w:rFonts w:cstheme="minorHAnsi"/>
        </w:rPr>
        <w:t>,</w:t>
      </w:r>
      <w:r w:rsidR="00214D24">
        <w:rPr>
          <w:rFonts w:cstheme="minorHAnsi"/>
        </w:rPr>
        <w:t>84</w:t>
      </w:r>
      <w:r w:rsidRPr="00DB1B9E">
        <w:rPr>
          <w:rFonts w:cstheme="minorHAnsi"/>
        </w:rPr>
        <w:t xml:space="preserve">%. Izvršenje rashoda u odnosu na izvršenje za izvještajno razdoblje prethodne godine iznosi </w:t>
      </w:r>
      <w:r w:rsidR="00DB1B9E" w:rsidRPr="00DB1B9E">
        <w:rPr>
          <w:rFonts w:cstheme="minorHAnsi"/>
        </w:rPr>
        <w:t>1</w:t>
      </w:r>
      <w:r w:rsidR="00214D24">
        <w:rPr>
          <w:rFonts w:cstheme="minorHAnsi"/>
        </w:rPr>
        <w:t>20</w:t>
      </w:r>
      <w:r w:rsidRPr="00DB1B9E">
        <w:rPr>
          <w:rFonts w:cstheme="minorHAnsi"/>
        </w:rPr>
        <w:t>,</w:t>
      </w:r>
      <w:r w:rsidR="00214D24">
        <w:rPr>
          <w:rFonts w:cstheme="minorHAnsi"/>
        </w:rPr>
        <w:t>77</w:t>
      </w:r>
      <w:r w:rsidRPr="00DB1B9E">
        <w:rPr>
          <w:rFonts w:cstheme="minorHAnsi"/>
        </w:rPr>
        <w:t>%.</w:t>
      </w:r>
    </w:p>
    <w:p w14:paraId="20F2ECE0" w14:textId="554CF339" w:rsidR="001C4242" w:rsidRPr="00DB1B9E" w:rsidRDefault="00000000">
      <w:pPr>
        <w:jc w:val="both"/>
        <w:rPr>
          <w:rFonts w:cstheme="minorHAnsi"/>
        </w:rPr>
      </w:pPr>
      <w:r w:rsidRPr="0078222F">
        <w:rPr>
          <w:rFonts w:cstheme="minorHAnsi"/>
          <w:color w:val="FF0000"/>
        </w:rPr>
        <w:tab/>
      </w:r>
      <w:r w:rsidRPr="00DB1B9E">
        <w:rPr>
          <w:rFonts w:cstheme="minorHAnsi"/>
        </w:rPr>
        <w:t xml:space="preserve">Rashodi poslovanja izvršeni su u iznosu od </w:t>
      </w:r>
      <w:r w:rsidR="00DB1B9E" w:rsidRPr="00DB1B9E">
        <w:rPr>
          <w:rFonts w:cstheme="minorHAnsi"/>
        </w:rPr>
        <w:t>1.</w:t>
      </w:r>
      <w:r w:rsidR="00B338F8">
        <w:rPr>
          <w:rFonts w:cstheme="minorHAnsi"/>
        </w:rPr>
        <w:t>922.059,93</w:t>
      </w:r>
      <w:r w:rsidRPr="00DB1B9E">
        <w:rPr>
          <w:rFonts w:cstheme="minorHAnsi"/>
        </w:rPr>
        <w:t xml:space="preserve"> eura ili </w:t>
      </w:r>
      <w:r w:rsidR="00DB1B9E" w:rsidRPr="00DB1B9E">
        <w:rPr>
          <w:rFonts w:cstheme="minorHAnsi"/>
        </w:rPr>
        <w:t>77,</w:t>
      </w:r>
      <w:r w:rsidR="00B338F8">
        <w:rPr>
          <w:rFonts w:cstheme="minorHAnsi"/>
        </w:rPr>
        <w:t>46</w:t>
      </w:r>
      <w:r w:rsidRPr="00DB1B9E">
        <w:rPr>
          <w:rFonts w:cstheme="minorHAnsi"/>
        </w:rPr>
        <w:t>% u odnosu na godišnji plan za 202</w:t>
      </w:r>
      <w:r w:rsidR="00B338F8">
        <w:rPr>
          <w:rFonts w:cstheme="minorHAnsi"/>
        </w:rPr>
        <w:t>4</w:t>
      </w:r>
      <w:r w:rsidRPr="00DB1B9E">
        <w:rPr>
          <w:rFonts w:cstheme="minorHAnsi"/>
        </w:rPr>
        <w:t>. godinu i 1</w:t>
      </w:r>
      <w:r w:rsidR="00B338F8">
        <w:rPr>
          <w:rFonts w:cstheme="minorHAnsi"/>
        </w:rPr>
        <w:t>38</w:t>
      </w:r>
      <w:r w:rsidR="00DB1B9E" w:rsidRPr="00DB1B9E">
        <w:rPr>
          <w:rFonts w:cstheme="minorHAnsi"/>
        </w:rPr>
        <w:t>,</w:t>
      </w:r>
      <w:r w:rsidR="00B338F8">
        <w:rPr>
          <w:rFonts w:cstheme="minorHAnsi"/>
        </w:rPr>
        <w:t>23</w:t>
      </w:r>
      <w:r w:rsidRPr="00DB1B9E">
        <w:rPr>
          <w:rFonts w:cstheme="minorHAnsi"/>
        </w:rPr>
        <w:t>%  u odnosu na isto izvještajno razdoblje prethodne godine.</w:t>
      </w:r>
    </w:p>
    <w:p w14:paraId="22760007" w14:textId="77777777" w:rsidR="001C4242" w:rsidRPr="00DB1B9E" w:rsidRDefault="00000000">
      <w:pPr>
        <w:jc w:val="both"/>
        <w:rPr>
          <w:rFonts w:cstheme="minorHAnsi"/>
          <w:b/>
          <w:bCs/>
        </w:rPr>
      </w:pPr>
      <w:r w:rsidRPr="00DB1B9E">
        <w:rPr>
          <w:rFonts w:cstheme="minorHAnsi"/>
          <w:b/>
          <w:bCs/>
        </w:rPr>
        <w:t xml:space="preserve">Prikaz ostvarenja rashoda poslovanja: </w:t>
      </w:r>
    </w:p>
    <w:p w14:paraId="23EBDE4B" w14:textId="4A4C0B88" w:rsidR="001C4242" w:rsidRPr="00DB1B9E" w:rsidRDefault="00000000">
      <w:pPr>
        <w:ind w:firstLine="708"/>
        <w:jc w:val="both"/>
        <w:rPr>
          <w:rFonts w:cstheme="minorHAnsi"/>
          <w:b/>
          <w:bCs/>
        </w:rPr>
      </w:pPr>
      <w:r w:rsidRPr="00DB1B9E">
        <w:rPr>
          <w:rFonts w:cstheme="minorHAnsi"/>
        </w:rPr>
        <w:t xml:space="preserve">- plaće (bruto) (311) izvršeni u iznosu od </w:t>
      </w:r>
      <w:r w:rsidR="00B338F8">
        <w:rPr>
          <w:rFonts w:cstheme="minorHAnsi"/>
        </w:rPr>
        <w:t>109.564,48</w:t>
      </w:r>
      <w:r w:rsidRPr="00DB1B9E">
        <w:rPr>
          <w:rFonts w:cstheme="minorHAnsi"/>
        </w:rPr>
        <w:t xml:space="preserve"> eura ili </w:t>
      </w:r>
      <w:r w:rsidR="00B338F8">
        <w:rPr>
          <w:rFonts w:cstheme="minorHAnsi"/>
        </w:rPr>
        <w:t>99</w:t>
      </w:r>
      <w:r w:rsidRPr="00DB1B9E">
        <w:rPr>
          <w:rFonts w:cstheme="minorHAnsi"/>
        </w:rPr>
        <w:t>,</w:t>
      </w:r>
      <w:r w:rsidR="00B338F8">
        <w:rPr>
          <w:rFonts w:cstheme="minorHAnsi"/>
        </w:rPr>
        <w:t>37</w:t>
      </w:r>
      <w:r w:rsidRPr="00DB1B9E">
        <w:rPr>
          <w:rFonts w:cstheme="minorHAnsi"/>
        </w:rPr>
        <w:t>% u odnosu na godišnji  plan za 202</w:t>
      </w:r>
      <w:r w:rsidR="00B338F8">
        <w:rPr>
          <w:rFonts w:cstheme="minorHAnsi"/>
        </w:rPr>
        <w:t>4</w:t>
      </w:r>
      <w:r w:rsidRPr="00DB1B9E">
        <w:rPr>
          <w:rFonts w:cstheme="minorHAnsi"/>
        </w:rPr>
        <w:t xml:space="preserve">. godinu,                          </w:t>
      </w:r>
    </w:p>
    <w:p w14:paraId="2ABB9D3E" w14:textId="29651082" w:rsidR="001C4242" w:rsidRPr="00F43411" w:rsidRDefault="00000000">
      <w:pPr>
        <w:ind w:firstLine="708"/>
        <w:jc w:val="both"/>
        <w:rPr>
          <w:rFonts w:cstheme="minorHAnsi"/>
        </w:rPr>
      </w:pPr>
      <w:r w:rsidRPr="00F43411">
        <w:rPr>
          <w:rFonts w:cstheme="minorHAnsi"/>
        </w:rPr>
        <w:t xml:space="preserve">- ostali rashodi za zaposlene (312) izvršeni u iznosu od </w:t>
      </w:r>
      <w:r w:rsidR="00DB1B9E" w:rsidRPr="00F43411">
        <w:rPr>
          <w:rFonts w:cstheme="minorHAnsi"/>
        </w:rPr>
        <w:t>1</w:t>
      </w:r>
      <w:r w:rsidR="00B338F8">
        <w:rPr>
          <w:rFonts w:cstheme="minorHAnsi"/>
        </w:rPr>
        <w:t>4</w:t>
      </w:r>
      <w:r w:rsidR="00DB1B9E" w:rsidRPr="00F43411">
        <w:rPr>
          <w:rFonts w:cstheme="minorHAnsi"/>
        </w:rPr>
        <w:t>.</w:t>
      </w:r>
      <w:r w:rsidR="00B338F8">
        <w:rPr>
          <w:rFonts w:cstheme="minorHAnsi"/>
        </w:rPr>
        <w:t>551,39</w:t>
      </w:r>
      <w:r w:rsidRPr="00F43411">
        <w:rPr>
          <w:rFonts w:cstheme="minorHAnsi"/>
        </w:rPr>
        <w:t xml:space="preserve"> eura ili </w:t>
      </w:r>
      <w:r w:rsidR="00DB1B9E" w:rsidRPr="00F43411">
        <w:rPr>
          <w:rFonts w:cstheme="minorHAnsi"/>
        </w:rPr>
        <w:t>8</w:t>
      </w:r>
      <w:r w:rsidR="00B338F8">
        <w:rPr>
          <w:rFonts w:cstheme="minorHAnsi"/>
        </w:rPr>
        <w:t>5</w:t>
      </w:r>
      <w:r w:rsidR="00DB1B9E" w:rsidRPr="00F43411">
        <w:rPr>
          <w:rFonts w:cstheme="minorHAnsi"/>
        </w:rPr>
        <w:t>,</w:t>
      </w:r>
      <w:r w:rsidR="00B338F8">
        <w:rPr>
          <w:rFonts w:cstheme="minorHAnsi"/>
        </w:rPr>
        <w:t>39</w:t>
      </w:r>
      <w:r w:rsidRPr="00F43411">
        <w:rPr>
          <w:rFonts w:cstheme="minorHAnsi"/>
        </w:rPr>
        <w:t>% u odnosu na godišnji plan za 202</w:t>
      </w:r>
      <w:r w:rsidR="00B338F8">
        <w:rPr>
          <w:rFonts w:cstheme="minorHAnsi"/>
        </w:rPr>
        <w:t>4</w:t>
      </w:r>
      <w:r w:rsidRPr="00F43411">
        <w:rPr>
          <w:rFonts w:cstheme="minorHAnsi"/>
        </w:rPr>
        <w:t>. godinu,</w:t>
      </w:r>
    </w:p>
    <w:p w14:paraId="7A8C1DA0" w14:textId="2681683F" w:rsidR="001C4242" w:rsidRPr="00F43411" w:rsidRDefault="00000000">
      <w:pPr>
        <w:ind w:firstLine="708"/>
        <w:jc w:val="both"/>
        <w:rPr>
          <w:rFonts w:cstheme="minorHAnsi"/>
        </w:rPr>
      </w:pPr>
      <w:r w:rsidRPr="00F43411">
        <w:rPr>
          <w:rFonts w:cstheme="minorHAnsi"/>
        </w:rPr>
        <w:t xml:space="preserve">- doprinosi na plaće (313) u iznosu od </w:t>
      </w:r>
      <w:r w:rsidR="00DB1B9E" w:rsidRPr="00F43411">
        <w:rPr>
          <w:rFonts w:cstheme="minorHAnsi"/>
        </w:rPr>
        <w:t>1</w:t>
      </w:r>
      <w:r w:rsidR="00B338F8">
        <w:rPr>
          <w:rFonts w:cstheme="minorHAnsi"/>
        </w:rPr>
        <w:t>8</w:t>
      </w:r>
      <w:r w:rsidR="00DB1B9E" w:rsidRPr="00F43411">
        <w:rPr>
          <w:rFonts w:cstheme="minorHAnsi"/>
        </w:rPr>
        <w:t>.</w:t>
      </w:r>
      <w:r w:rsidR="00B338F8">
        <w:rPr>
          <w:rFonts w:cstheme="minorHAnsi"/>
        </w:rPr>
        <w:t>078</w:t>
      </w:r>
      <w:r w:rsidR="00DB1B9E" w:rsidRPr="00F43411">
        <w:rPr>
          <w:rFonts w:cstheme="minorHAnsi"/>
        </w:rPr>
        <w:t>,</w:t>
      </w:r>
      <w:r w:rsidR="00B338F8">
        <w:rPr>
          <w:rFonts w:cstheme="minorHAnsi"/>
        </w:rPr>
        <w:t>17</w:t>
      </w:r>
      <w:r w:rsidRPr="00F43411">
        <w:rPr>
          <w:rFonts w:cstheme="minorHAnsi"/>
        </w:rPr>
        <w:t xml:space="preserve"> eura ili </w:t>
      </w:r>
      <w:r w:rsidR="00B338F8">
        <w:rPr>
          <w:rFonts w:cstheme="minorHAnsi"/>
        </w:rPr>
        <w:t>99</w:t>
      </w:r>
      <w:r w:rsidRPr="00F43411">
        <w:rPr>
          <w:rFonts w:cstheme="minorHAnsi"/>
        </w:rPr>
        <w:t>,</w:t>
      </w:r>
      <w:r w:rsidR="00B338F8">
        <w:rPr>
          <w:rFonts w:cstheme="minorHAnsi"/>
        </w:rPr>
        <w:t>10</w:t>
      </w:r>
      <w:r w:rsidRPr="00F43411">
        <w:rPr>
          <w:rFonts w:cstheme="minorHAnsi"/>
        </w:rPr>
        <w:t>% u odnosu na godišnji plan za 202</w:t>
      </w:r>
      <w:r w:rsidR="00B338F8">
        <w:rPr>
          <w:rFonts w:cstheme="minorHAnsi"/>
        </w:rPr>
        <w:t>4</w:t>
      </w:r>
      <w:r w:rsidRPr="00F43411">
        <w:rPr>
          <w:rFonts w:cstheme="minorHAnsi"/>
        </w:rPr>
        <w:t>. godinu,</w:t>
      </w:r>
    </w:p>
    <w:p w14:paraId="6C59759D" w14:textId="5032A895" w:rsidR="001C4242" w:rsidRPr="00F43411" w:rsidRDefault="00000000">
      <w:pPr>
        <w:ind w:firstLine="708"/>
        <w:jc w:val="both"/>
        <w:rPr>
          <w:rFonts w:cstheme="minorHAnsi"/>
        </w:rPr>
      </w:pPr>
      <w:r w:rsidRPr="00F43411">
        <w:rPr>
          <w:rFonts w:cstheme="minorHAnsi"/>
        </w:rPr>
        <w:t xml:space="preserve">- naknade troškova zaposlenima (321) u iznosu od </w:t>
      </w:r>
      <w:r w:rsidR="00DB1B9E" w:rsidRPr="00F43411">
        <w:rPr>
          <w:rFonts w:cstheme="minorHAnsi"/>
        </w:rPr>
        <w:t>7.</w:t>
      </w:r>
      <w:r w:rsidR="00B338F8">
        <w:rPr>
          <w:rFonts w:cstheme="minorHAnsi"/>
        </w:rPr>
        <w:t>802,56</w:t>
      </w:r>
      <w:r w:rsidRPr="00F43411">
        <w:rPr>
          <w:rFonts w:cstheme="minorHAnsi"/>
        </w:rPr>
        <w:t xml:space="preserve"> eura ili </w:t>
      </w:r>
      <w:r w:rsidR="00B338F8">
        <w:rPr>
          <w:rFonts w:cstheme="minorHAnsi"/>
        </w:rPr>
        <w:t>89,17</w:t>
      </w:r>
      <w:r w:rsidRPr="00F43411">
        <w:rPr>
          <w:rFonts w:cstheme="minorHAnsi"/>
        </w:rPr>
        <w:t>% u odnosu na godišnji plan za 202</w:t>
      </w:r>
      <w:r w:rsidR="00B338F8">
        <w:rPr>
          <w:rFonts w:cstheme="minorHAnsi"/>
        </w:rPr>
        <w:t>4</w:t>
      </w:r>
      <w:r w:rsidRPr="00F43411">
        <w:rPr>
          <w:rFonts w:cstheme="minorHAnsi"/>
        </w:rPr>
        <w:t xml:space="preserve">. godinu, </w:t>
      </w:r>
      <w:r w:rsidRPr="00F43411">
        <w:rPr>
          <w:rFonts w:cstheme="minorHAnsi"/>
        </w:rPr>
        <w:tab/>
      </w:r>
    </w:p>
    <w:p w14:paraId="3F01F6DB" w14:textId="2D036E15" w:rsidR="001C4242" w:rsidRPr="00F43411" w:rsidRDefault="00000000">
      <w:pPr>
        <w:ind w:firstLine="708"/>
        <w:jc w:val="both"/>
        <w:rPr>
          <w:rFonts w:cstheme="minorHAnsi"/>
        </w:rPr>
      </w:pPr>
      <w:r w:rsidRPr="00F43411">
        <w:rPr>
          <w:rFonts w:cstheme="minorHAnsi"/>
        </w:rPr>
        <w:lastRenderedPageBreak/>
        <w:t xml:space="preserve">- rashodi za materijal i energiju (322) u iznosu od </w:t>
      </w:r>
      <w:r w:rsidR="00B338F8">
        <w:rPr>
          <w:rFonts w:cstheme="minorHAnsi"/>
        </w:rPr>
        <w:t>97</w:t>
      </w:r>
      <w:r w:rsidR="00DB1B9E" w:rsidRPr="00F43411">
        <w:rPr>
          <w:rFonts w:cstheme="minorHAnsi"/>
        </w:rPr>
        <w:t>.</w:t>
      </w:r>
      <w:r w:rsidR="00B338F8">
        <w:rPr>
          <w:rFonts w:cstheme="minorHAnsi"/>
        </w:rPr>
        <w:t>012</w:t>
      </w:r>
      <w:r w:rsidR="00DB1B9E" w:rsidRPr="00F43411">
        <w:rPr>
          <w:rFonts w:cstheme="minorHAnsi"/>
        </w:rPr>
        <w:t>,</w:t>
      </w:r>
      <w:r w:rsidR="00B338F8">
        <w:rPr>
          <w:rFonts w:cstheme="minorHAnsi"/>
        </w:rPr>
        <w:t>78</w:t>
      </w:r>
      <w:r w:rsidRPr="00F43411">
        <w:rPr>
          <w:rFonts w:cstheme="minorHAnsi"/>
        </w:rPr>
        <w:t xml:space="preserve"> eura ili </w:t>
      </w:r>
      <w:r w:rsidR="00DB1B9E" w:rsidRPr="00F43411">
        <w:rPr>
          <w:rFonts w:cstheme="minorHAnsi"/>
        </w:rPr>
        <w:t>7</w:t>
      </w:r>
      <w:r w:rsidR="00B338F8">
        <w:rPr>
          <w:rFonts w:cstheme="minorHAnsi"/>
        </w:rPr>
        <w:t>3</w:t>
      </w:r>
      <w:r w:rsidRPr="00F43411">
        <w:rPr>
          <w:rFonts w:cstheme="minorHAnsi"/>
        </w:rPr>
        <w:t>,</w:t>
      </w:r>
      <w:r w:rsidR="00B338F8">
        <w:rPr>
          <w:rFonts w:cstheme="minorHAnsi"/>
        </w:rPr>
        <w:t>94</w:t>
      </w:r>
      <w:r w:rsidRPr="00F43411">
        <w:rPr>
          <w:rFonts w:cstheme="minorHAnsi"/>
        </w:rPr>
        <w:t>% u odnosu na godišnji plan za 202</w:t>
      </w:r>
      <w:r w:rsidR="00B338F8">
        <w:rPr>
          <w:rFonts w:cstheme="minorHAnsi"/>
        </w:rPr>
        <w:t>4</w:t>
      </w:r>
      <w:r w:rsidRPr="00F43411">
        <w:rPr>
          <w:rFonts w:cstheme="minorHAnsi"/>
        </w:rPr>
        <w:t>. godinu</w:t>
      </w:r>
    </w:p>
    <w:p w14:paraId="4967FBE9" w14:textId="05F89A74" w:rsidR="001C4242" w:rsidRPr="00F43411" w:rsidRDefault="00000000">
      <w:pPr>
        <w:ind w:firstLine="708"/>
        <w:jc w:val="both"/>
        <w:rPr>
          <w:rFonts w:cstheme="minorHAnsi"/>
        </w:rPr>
      </w:pPr>
      <w:r w:rsidRPr="00F43411">
        <w:rPr>
          <w:rFonts w:cstheme="minorHAnsi"/>
        </w:rPr>
        <w:t xml:space="preserve">- rashodi za usluge (323) u iznosu od </w:t>
      </w:r>
      <w:r w:rsidR="00AF4A83">
        <w:rPr>
          <w:rFonts w:cstheme="minorHAnsi"/>
        </w:rPr>
        <w:t>666</w:t>
      </w:r>
      <w:r w:rsidR="00DB1B9E" w:rsidRPr="00F43411">
        <w:rPr>
          <w:rFonts w:cstheme="minorHAnsi"/>
        </w:rPr>
        <w:t>.</w:t>
      </w:r>
      <w:r w:rsidR="00AF4A83">
        <w:rPr>
          <w:rFonts w:cstheme="minorHAnsi"/>
        </w:rPr>
        <w:t>081</w:t>
      </w:r>
      <w:r w:rsidR="00DB1B9E" w:rsidRPr="00F43411">
        <w:rPr>
          <w:rFonts w:cstheme="minorHAnsi"/>
        </w:rPr>
        <w:t>,</w:t>
      </w:r>
      <w:r w:rsidR="00AF4A83">
        <w:rPr>
          <w:rFonts w:cstheme="minorHAnsi"/>
        </w:rPr>
        <w:t>49</w:t>
      </w:r>
      <w:r w:rsidRPr="00F43411">
        <w:rPr>
          <w:rFonts w:cstheme="minorHAnsi"/>
        </w:rPr>
        <w:t xml:space="preserve"> eura ili </w:t>
      </w:r>
      <w:r w:rsidR="00AF4A83">
        <w:rPr>
          <w:rFonts w:cstheme="minorHAnsi"/>
        </w:rPr>
        <w:t>81</w:t>
      </w:r>
      <w:r w:rsidR="00DB1B9E" w:rsidRPr="00F43411">
        <w:rPr>
          <w:rFonts w:cstheme="minorHAnsi"/>
        </w:rPr>
        <w:t>,</w:t>
      </w:r>
      <w:r w:rsidR="00AF4A83">
        <w:rPr>
          <w:rFonts w:cstheme="minorHAnsi"/>
        </w:rPr>
        <w:t>62</w:t>
      </w:r>
      <w:r w:rsidRPr="00F43411">
        <w:rPr>
          <w:rFonts w:cstheme="minorHAnsi"/>
        </w:rPr>
        <w:t>% u odnosu na godišnji plan za 202</w:t>
      </w:r>
      <w:r w:rsidR="00AF4A83">
        <w:rPr>
          <w:rFonts w:cstheme="minorHAnsi"/>
        </w:rPr>
        <w:t>4</w:t>
      </w:r>
      <w:r w:rsidRPr="00F43411">
        <w:rPr>
          <w:rFonts w:cstheme="minorHAnsi"/>
        </w:rPr>
        <w:t>. godinu,</w:t>
      </w:r>
    </w:p>
    <w:p w14:paraId="3537F702" w14:textId="3D88CAAD" w:rsidR="001C4242" w:rsidRPr="00F43411" w:rsidRDefault="00000000">
      <w:pPr>
        <w:ind w:firstLine="708"/>
        <w:jc w:val="both"/>
        <w:rPr>
          <w:rFonts w:cstheme="minorHAnsi"/>
        </w:rPr>
      </w:pPr>
      <w:r w:rsidRPr="00F43411">
        <w:rPr>
          <w:rFonts w:cstheme="minorHAnsi"/>
        </w:rPr>
        <w:t xml:space="preserve">- ostali nespomenuti rashodi poslovanja (329) u iznosu od </w:t>
      </w:r>
      <w:r w:rsidR="00DB1B9E" w:rsidRPr="00F43411">
        <w:rPr>
          <w:rFonts w:cstheme="minorHAnsi"/>
        </w:rPr>
        <w:t>6</w:t>
      </w:r>
      <w:r w:rsidR="00AF4A83">
        <w:rPr>
          <w:rFonts w:cstheme="minorHAnsi"/>
        </w:rPr>
        <w:t>2</w:t>
      </w:r>
      <w:r w:rsidR="00DB1B9E" w:rsidRPr="00F43411">
        <w:rPr>
          <w:rFonts w:cstheme="minorHAnsi"/>
        </w:rPr>
        <w:t>.</w:t>
      </w:r>
      <w:r w:rsidR="00AF4A83">
        <w:rPr>
          <w:rFonts w:cstheme="minorHAnsi"/>
        </w:rPr>
        <w:t>418</w:t>
      </w:r>
      <w:r w:rsidR="00DB1B9E" w:rsidRPr="00F43411">
        <w:rPr>
          <w:rFonts w:cstheme="minorHAnsi"/>
        </w:rPr>
        <w:t>,4</w:t>
      </w:r>
      <w:r w:rsidR="00AF4A83">
        <w:rPr>
          <w:rFonts w:cstheme="minorHAnsi"/>
        </w:rPr>
        <w:t>7</w:t>
      </w:r>
      <w:r w:rsidRPr="00F43411">
        <w:rPr>
          <w:rFonts w:cstheme="minorHAnsi"/>
        </w:rPr>
        <w:t xml:space="preserve"> eura ili </w:t>
      </w:r>
      <w:r w:rsidR="00AF4A83">
        <w:rPr>
          <w:rFonts w:cstheme="minorHAnsi"/>
        </w:rPr>
        <w:t>80</w:t>
      </w:r>
      <w:r w:rsidRPr="00F43411">
        <w:rPr>
          <w:rFonts w:cstheme="minorHAnsi"/>
        </w:rPr>
        <w:t>,</w:t>
      </w:r>
      <w:r w:rsidR="00AF4A83">
        <w:rPr>
          <w:rFonts w:cstheme="minorHAnsi"/>
        </w:rPr>
        <w:t>16</w:t>
      </w:r>
      <w:r w:rsidRPr="00F43411">
        <w:rPr>
          <w:rFonts w:cstheme="minorHAnsi"/>
        </w:rPr>
        <w:t>% u odnosu na godišnji plan za 202</w:t>
      </w:r>
      <w:r w:rsidR="00AF4A83">
        <w:rPr>
          <w:rFonts w:cstheme="minorHAnsi"/>
        </w:rPr>
        <w:t>4</w:t>
      </w:r>
      <w:r w:rsidRPr="00F43411">
        <w:rPr>
          <w:rFonts w:cstheme="minorHAnsi"/>
        </w:rPr>
        <w:t>. godinu,</w:t>
      </w:r>
    </w:p>
    <w:p w14:paraId="41F6B618" w14:textId="19858F3B" w:rsidR="001C4242" w:rsidRPr="00F43411" w:rsidRDefault="00000000">
      <w:pPr>
        <w:ind w:firstLine="708"/>
        <w:jc w:val="both"/>
        <w:rPr>
          <w:rFonts w:cstheme="minorHAnsi"/>
        </w:rPr>
      </w:pPr>
      <w:r w:rsidRPr="00F43411">
        <w:rPr>
          <w:rFonts w:cstheme="minorHAnsi"/>
        </w:rPr>
        <w:t>- ostali financijski rashodi (343) u iznosu od 1.</w:t>
      </w:r>
      <w:r w:rsidR="00AF4A83">
        <w:rPr>
          <w:rFonts w:cstheme="minorHAnsi"/>
        </w:rPr>
        <w:t>287</w:t>
      </w:r>
      <w:r w:rsidRPr="00F43411">
        <w:rPr>
          <w:rFonts w:cstheme="minorHAnsi"/>
        </w:rPr>
        <w:t>,</w:t>
      </w:r>
      <w:r w:rsidR="00AF4A83">
        <w:rPr>
          <w:rFonts w:cstheme="minorHAnsi"/>
        </w:rPr>
        <w:t>74</w:t>
      </w:r>
      <w:r w:rsidRPr="00F43411">
        <w:rPr>
          <w:rFonts w:cstheme="minorHAnsi"/>
        </w:rPr>
        <w:t xml:space="preserve"> eura ili </w:t>
      </w:r>
      <w:r w:rsidR="00AF4A83">
        <w:rPr>
          <w:rFonts w:cstheme="minorHAnsi"/>
        </w:rPr>
        <w:t>51</w:t>
      </w:r>
      <w:r w:rsidRPr="00F43411">
        <w:rPr>
          <w:rFonts w:cstheme="minorHAnsi"/>
        </w:rPr>
        <w:t>,</w:t>
      </w:r>
      <w:r w:rsidR="00AF4A83">
        <w:rPr>
          <w:rFonts w:cstheme="minorHAnsi"/>
        </w:rPr>
        <w:t>51</w:t>
      </w:r>
      <w:r w:rsidRPr="00F43411">
        <w:rPr>
          <w:rFonts w:cstheme="minorHAnsi"/>
        </w:rPr>
        <w:t>% u odnosu na godišnji plan za 202</w:t>
      </w:r>
      <w:r w:rsidR="00AF4A83">
        <w:rPr>
          <w:rFonts w:cstheme="minorHAnsi"/>
        </w:rPr>
        <w:t>4</w:t>
      </w:r>
      <w:r w:rsidRPr="00F43411">
        <w:rPr>
          <w:rFonts w:cstheme="minorHAnsi"/>
        </w:rPr>
        <w:t>. godinu,</w:t>
      </w:r>
    </w:p>
    <w:p w14:paraId="30B4968E" w14:textId="398BE9BD" w:rsidR="001C4242" w:rsidRPr="00F43411" w:rsidRDefault="00000000">
      <w:pPr>
        <w:ind w:left="708"/>
        <w:jc w:val="both"/>
        <w:rPr>
          <w:rFonts w:cstheme="minorHAnsi"/>
        </w:rPr>
      </w:pPr>
      <w:r w:rsidRPr="00F43411">
        <w:rPr>
          <w:rFonts w:cstheme="minorHAnsi"/>
        </w:rPr>
        <w:t xml:space="preserve">- subvencije trgovačkim društvima, zadrugama, poljoprivrednicima i obrtnicima izvan javnog sektora (352) u iznosu od </w:t>
      </w:r>
      <w:r w:rsidR="00AF4A83">
        <w:rPr>
          <w:rFonts w:cstheme="minorHAnsi"/>
        </w:rPr>
        <w:t>201</w:t>
      </w:r>
      <w:r w:rsidR="00F43411" w:rsidRPr="00F43411">
        <w:rPr>
          <w:rFonts w:cstheme="minorHAnsi"/>
        </w:rPr>
        <w:t>.</w:t>
      </w:r>
      <w:r w:rsidR="00AF4A83">
        <w:rPr>
          <w:rFonts w:cstheme="minorHAnsi"/>
        </w:rPr>
        <w:t>106</w:t>
      </w:r>
      <w:r w:rsidR="00F43411" w:rsidRPr="00F43411">
        <w:rPr>
          <w:rFonts w:cstheme="minorHAnsi"/>
        </w:rPr>
        <w:t>,</w:t>
      </w:r>
      <w:r w:rsidR="00AF4A83">
        <w:rPr>
          <w:rFonts w:cstheme="minorHAnsi"/>
        </w:rPr>
        <w:t>68</w:t>
      </w:r>
      <w:r w:rsidRPr="00F43411">
        <w:rPr>
          <w:rFonts w:cstheme="minorHAnsi"/>
        </w:rPr>
        <w:t xml:space="preserve"> eura ili </w:t>
      </w:r>
      <w:r w:rsidR="00F43411" w:rsidRPr="00F43411">
        <w:rPr>
          <w:rFonts w:cstheme="minorHAnsi"/>
        </w:rPr>
        <w:t>9</w:t>
      </w:r>
      <w:r w:rsidR="00AF4A83">
        <w:rPr>
          <w:rFonts w:cstheme="minorHAnsi"/>
        </w:rPr>
        <w:t>7</w:t>
      </w:r>
      <w:r w:rsidRPr="00F43411">
        <w:rPr>
          <w:rFonts w:cstheme="minorHAnsi"/>
        </w:rPr>
        <w:t>,</w:t>
      </w:r>
      <w:r w:rsidR="00AF4A83">
        <w:rPr>
          <w:rFonts w:cstheme="minorHAnsi"/>
        </w:rPr>
        <w:t>15</w:t>
      </w:r>
      <w:r w:rsidRPr="00F43411">
        <w:rPr>
          <w:rFonts w:cstheme="minorHAnsi"/>
        </w:rPr>
        <w:t xml:space="preserve">% u odnosu na godišnji  </w:t>
      </w:r>
    </w:p>
    <w:p w14:paraId="1B008547" w14:textId="6778E1CA" w:rsidR="001C4242" w:rsidRPr="00F43411" w:rsidRDefault="00000000">
      <w:pPr>
        <w:jc w:val="both"/>
        <w:rPr>
          <w:rFonts w:cstheme="minorHAnsi"/>
        </w:rPr>
      </w:pPr>
      <w:r w:rsidRPr="00F43411">
        <w:rPr>
          <w:rFonts w:cstheme="minorHAnsi"/>
        </w:rPr>
        <w:t xml:space="preserve">                 plan za 202</w:t>
      </w:r>
      <w:r w:rsidR="00AF4A83">
        <w:rPr>
          <w:rFonts w:cstheme="minorHAnsi"/>
        </w:rPr>
        <w:t>4</w:t>
      </w:r>
      <w:r w:rsidRPr="00F43411">
        <w:rPr>
          <w:rFonts w:cstheme="minorHAnsi"/>
        </w:rPr>
        <w:t>. godinu,</w:t>
      </w:r>
    </w:p>
    <w:p w14:paraId="3C59D69D" w14:textId="56A3E31F" w:rsidR="001C4242" w:rsidRPr="00F43411" w:rsidRDefault="00000000">
      <w:pPr>
        <w:ind w:firstLine="708"/>
        <w:jc w:val="both"/>
        <w:rPr>
          <w:rFonts w:cstheme="minorHAnsi"/>
        </w:rPr>
      </w:pPr>
      <w:r w:rsidRPr="00F43411">
        <w:rPr>
          <w:rFonts w:cstheme="minorHAnsi"/>
        </w:rPr>
        <w:t xml:space="preserve">- pomoći unutar općeg proračuna (363) u iznosu od </w:t>
      </w:r>
      <w:r w:rsidR="00F43411" w:rsidRPr="00F43411">
        <w:rPr>
          <w:rFonts w:cstheme="minorHAnsi"/>
        </w:rPr>
        <w:t>2</w:t>
      </w:r>
      <w:r w:rsidR="00AF4A83">
        <w:rPr>
          <w:rFonts w:cstheme="minorHAnsi"/>
        </w:rPr>
        <w:t>49</w:t>
      </w:r>
      <w:r w:rsidR="00F43411" w:rsidRPr="00F43411">
        <w:rPr>
          <w:rFonts w:cstheme="minorHAnsi"/>
        </w:rPr>
        <w:t>.</w:t>
      </w:r>
      <w:r w:rsidR="00AF4A83">
        <w:rPr>
          <w:rFonts w:cstheme="minorHAnsi"/>
        </w:rPr>
        <w:t>103</w:t>
      </w:r>
      <w:r w:rsidR="00F43411" w:rsidRPr="00F43411">
        <w:rPr>
          <w:rFonts w:cstheme="minorHAnsi"/>
        </w:rPr>
        <w:t>,</w:t>
      </w:r>
      <w:r w:rsidR="00AF4A83">
        <w:rPr>
          <w:rFonts w:cstheme="minorHAnsi"/>
        </w:rPr>
        <w:t>20</w:t>
      </w:r>
      <w:r w:rsidRPr="00F43411">
        <w:rPr>
          <w:rFonts w:cstheme="minorHAnsi"/>
        </w:rPr>
        <w:t xml:space="preserve"> eura ili </w:t>
      </w:r>
      <w:r w:rsidR="00AF4A83">
        <w:rPr>
          <w:rFonts w:cstheme="minorHAnsi"/>
        </w:rPr>
        <w:t>98</w:t>
      </w:r>
      <w:r w:rsidR="00F43411" w:rsidRPr="00F43411">
        <w:rPr>
          <w:rFonts w:cstheme="minorHAnsi"/>
        </w:rPr>
        <w:t>,</w:t>
      </w:r>
      <w:r w:rsidR="00AF4A83">
        <w:rPr>
          <w:rFonts w:cstheme="minorHAnsi"/>
        </w:rPr>
        <w:t>46</w:t>
      </w:r>
      <w:r w:rsidRPr="00F43411">
        <w:rPr>
          <w:rFonts w:cstheme="minorHAnsi"/>
        </w:rPr>
        <w:t>% u odnosu na godišnji plan za 202</w:t>
      </w:r>
      <w:r w:rsidR="00AF4A83">
        <w:rPr>
          <w:rFonts w:cstheme="minorHAnsi"/>
        </w:rPr>
        <w:t>4</w:t>
      </w:r>
      <w:r w:rsidRPr="00F43411">
        <w:rPr>
          <w:rFonts w:cstheme="minorHAnsi"/>
        </w:rPr>
        <w:t xml:space="preserve">. godinu, </w:t>
      </w:r>
    </w:p>
    <w:p w14:paraId="5D8B29F6" w14:textId="2057B364" w:rsidR="001C4242" w:rsidRPr="00F43411" w:rsidRDefault="00000000">
      <w:pPr>
        <w:ind w:firstLine="708"/>
        <w:jc w:val="both"/>
        <w:rPr>
          <w:rFonts w:cstheme="minorHAnsi"/>
        </w:rPr>
      </w:pPr>
      <w:r w:rsidRPr="00F43411">
        <w:rPr>
          <w:rFonts w:cstheme="minorHAnsi"/>
        </w:rPr>
        <w:t xml:space="preserve">- pomoći proračunskim korisnicima drugih proračuna (366) u iznosu od </w:t>
      </w:r>
      <w:r w:rsidR="00F43411" w:rsidRPr="00F43411">
        <w:rPr>
          <w:rFonts w:cstheme="minorHAnsi"/>
        </w:rPr>
        <w:t>4</w:t>
      </w:r>
      <w:r w:rsidR="00AF4A83">
        <w:rPr>
          <w:rFonts w:cstheme="minorHAnsi"/>
        </w:rPr>
        <w:t>2</w:t>
      </w:r>
      <w:r w:rsidR="00F43411" w:rsidRPr="00F43411">
        <w:rPr>
          <w:rFonts w:cstheme="minorHAnsi"/>
        </w:rPr>
        <w:t>.</w:t>
      </w:r>
      <w:r w:rsidR="00AF4A83">
        <w:rPr>
          <w:rFonts w:cstheme="minorHAnsi"/>
        </w:rPr>
        <w:t>808</w:t>
      </w:r>
      <w:r w:rsidR="00F43411" w:rsidRPr="00F43411">
        <w:rPr>
          <w:rFonts w:cstheme="minorHAnsi"/>
        </w:rPr>
        <w:t>,</w:t>
      </w:r>
      <w:r w:rsidR="00AF4A83">
        <w:rPr>
          <w:rFonts w:cstheme="minorHAnsi"/>
        </w:rPr>
        <w:t>95</w:t>
      </w:r>
      <w:r w:rsidRPr="00F43411">
        <w:rPr>
          <w:rFonts w:cstheme="minorHAnsi"/>
        </w:rPr>
        <w:t xml:space="preserve"> eura ili </w:t>
      </w:r>
      <w:r w:rsidR="00F43411" w:rsidRPr="00F43411">
        <w:rPr>
          <w:rFonts w:cstheme="minorHAnsi"/>
        </w:rPr>
        <w:t>9</w:t>
      </w:r>
      <w:r w:rsidR="00AF4A83">
        <w:rPr>
          <w:rFonts w:cstheme="minorHAnsi"/>
        </w:rPr>
        <w:t>0</w:t>
      </w:r>
      <w:r w:rsidRPr="00F43411">
        <w:rPr>
          <w:rFonts w:cstheme="minorHAnsi"/>
        </w:rPr>
        <w:t>,</w:t>
      </w:r>
      <w:r w:rsidR="00AF4A83">
        <w:rPr>
          <w:rFonts w:cstheme="minorHAnsi"/>
        </w:rPr>
        <w:t>75</w:t>
      </w:r>
      <w:r w:rsidRPr="00F43411">
        <w:rPr>
          <w:rFonts w:cstheme="minorHAnsi"/>
        </w:rPr>
        <w:t>% u odnosu na godišnji plan za 202</w:t>
      </w:r>
      <w:r w:rsidR="00AF4A83">
        <w:rPr>
          <w:rFonts w:cstheme="minorHAnsi"/>
        </w:rPr>
        <w:t>4</w:t>
      </w:r>
      <w:r w:rsidRPr="00F43411">
        <w:rPr>
          <w:rFonts w:cstheme="minorHAnsi"/>
        </w:rPr>
        <w:t>. godinu,</w:t>
      </w:r>
    </w:p>
    <w:p w14:paraId="3ED5B5E8" w14:textId="6AA58199" w:rsidR="001C4242" w:rsidRPr="00F43411" w:rsidRDefault="00000000">
      <w:pPr>
        <w:ind w:firstLine="708"/>
        <w:jc w:val="both"/>
        <w:rPr>
          <w:rFonts w:cstheme="minorHAnsi"/>
        </w:rPr>
      </w:pPr>
      <w:r w:rsidRPr="00F43411">
        <w:rPr>
          <w:rFonts w:cstheme="minorHAnsi"/>
        </w:rPr>
        <w:t xml:space="preserve">- ostale naknade građanima i kućanstvima iz proračuna (372) u iznosu od </w:t>
      </w:r>
      <w:r w:rsidR="008649B9">
        <w:rPr>
          <w:rFonts w:cstheme="minorHAnsi"/>
        </w:rPr>
        <w:t>233.459,78</w:t>
      </w:r>
      <w:r w:rsidRPr="00F43411">
        <w:rPr>
          <w:rFonts w:cstheme="minorHAnsi"/>
        </w:rPr>
        <w:t xml:space="preserve"> eura ili </w:t>
      </w:r>
      <w:r w:rsidR="008649B9">
        <w:rPr>
          <w:rFonts w:cstheme="minorHAnsi"/>
        </w:rPr>
        <w:t>77</w:t>
      </w:r>
      <w:r w:rsidRPr="00F43411">
        <w:rPr>
          <w:rFonts w:cstheme="minorHAnsi"/>
        </w:rPr>
        <w:t>,</w:t>
      </w:r>
      <w:r w:rsidR="008649B9">
        <w:rPr>
          <w:rFonts w:cstheme="minorHAnsi"/>
        </w:rPr>
        <w:t>32</w:t>
      </w:r>
      <w:r w:rsidRPr="00F43411">
        <w:rPr>
          <w:rFonts w:cstheme="minorHAnsi"/>
        </w:rPr>
        <w:t>% u odnosu na godišnji plan za 202</w:t>
      </w:r>
      <w:r w:rsidR="008649B9">
        <w:rPr>
          <w:rFonts w:cstheme="minorHAnsi"/>
        </w:rPr>
        <w:t>4</w:t>
      </w:r>
      <w:r w:rsidRPr="00F43411">
        <w:rPr>
          <w:rFonts w:cstheme="minorHAnsi"/>
        </w:rPr>
        <w:t>. godinu,</w:t>
      </w:r>
    </w:p>
    <w:p w14:paraId="27B06292" w14:textId="52AAFD0F" w:rsidR="001C4242" w:rsidRPr="00F43411" w:rsidRDefault="00000000">
      <w:pPr>
        <w:ind w:firstLine="708"/>
        <w:jc w:val="both"/>
        <w:rPr>
          <w:rFonts w:cstheme="minorHAnsi"/>
        </w:rPr>
      </w:pPr>
      <w:r w:rsidRPr="00F43411">
        <w:rPr>
          <w:rFonts w:cstheme="minorHAnsi"/>
        </w:rPr>
        <w:t xml:space="preserve">- tekuće donacije (381) u iznosu od </w:t>
      </w:r>
      <w:r w:rsidR="00F43411" w:rsidRPr="00F43411">
        <w:rPr>
          <w:rFonts w:cstheme="minorHAnsi"/>
        </w:rPr>
        <w:t>1</w:t>
      </w:r>
      <w:r w:rsidR="008649B9">
        <w:rPr>
          <w:rFonts w:cstheme="minorHAnsi"/>
        </w:rPr>
        <w:t>79.529,13</w:t>
      </w:r>
      <w:r w:rsidRPr="00F43411">
        <w:rPr>
          <w:rFonts w:cstheme="minorHAnsi"/>
        </w:rPr>
        <w:t xml:space="preserve"> eura ili </w:t>
      </w:r>
      <w:r w:rsidR="00F43411" w:rsidRPr="00F43411">
        <w:rPr>
          <w:rFonts w:cstheme="minorHAnsi"/>
        </w:rPr>
        <w:t>9</w:t>
      </w:r>
      <w:r w:rsidR="008649B9">
        <w:rPr>
          <w:rFonts w:cstheme="minorHAnsi"/>
        </w:rPr>
        <w:t>2</w:t>
      </w:r>
      <w:r w:rsidR="00F43411" w:rsidRPr="00F43411">
        <w:rPr>
          <w:rFonts w:cstheme="minorHAnsi"/>
        </w:rPr>
        <w:t>,</w:t>
      </w:r>
      <w:r w:rsidR="008649B9">
        <w:rPr>
          <w:rFonts w:cstheme="minorHAnsi"/>
        </w:rPr>
        <w:t>59</w:t>
      </w:r>
      <w:r w:rsidRPr="00F43411">
        <w:rPr>
          <w:rFonts w:cstheme="minorHAnsi"/>
        </w:rPr>
        <w:t>% u odnosu na godišnji plan za 202</w:t>
      </w:r>
      <w:r w:rsidR="008649B9">
        <w:rPr>
          <w:rFonts w:cstheme="minorHAnsi"/>
        </w:rPr>
        <w:t>4</w:t>
      </w:r>
      <w:r w:rsidRPr="00F43411">
        <w:rPr>
          <w:rFonts w:cstheme="minorHAnsi"/>
        </w:rPr>
        <w:t>. godinu,</w:t>
      </w:r>
    </w:p>
    <w:p w14:paraId="4BA1D5E6" w14:textId="37111DC7" w:rsidR="00F43411" w:rsidRPr="00F43411" w:rsidRDefault="00F43411">
      <w:pPr>
        <w:ind w:firstLine="708"/>
        <w:jc w:val="both"/>
        <w:rPr>
          <w:rFonts w:cstheme="minorHAnsi"/>
        </w:rPr>
      </w:pPr>
      <w:r w:rsidRPr="00F43411">
        <w:rPr>
          <w:rFonts w:cstheme="minorHAnsi"/>
        </w:rPr>
        <w:t xml:space="preserve">- kazne, penali i naknade štete (383) u iznosu od </w:t>
      </w:r>
      <w:r w:rsidR="008649B9">
        <w:rPr>
          <w:rFonts w:cstheme="minorHAnsi"/>
        </w:rPr>
        <w:t>2.000,00</w:t>
      </w:r>
      <w:r w:rsidRPr="00F43411">
        <w:rPr>
          <w:rFonts w:cstheme="minorHAnsi"/>
        </w:rPr>
        <w:t xml:space="preserve"> eura ili </w:t>
      </w:r>
      <w:r w:rsidR="008649B9">
        <w:rPr>
          <w:rFonts w:cstheme="minorHAnsi"/>
        </w:rPr>
        <w:t>100</w:t>
      </w:r>
      <w:r w:rsidRPr="00F43411">
        <w:rPr>
          <w:rFonts w:cstheme="minorHAnsi"/>
        </w:rPr>
        <w:t>,</w:t>
      </w:r>
      <w:r w:rsidR="008649B9">
        <w:rPr>
          <w:rFonts w:cstheme="minorHAnsi"/>
        </w:rPr>
        <w:t>00</w:t>
      </w:r>
      <w:r w:rsidRPr="00F43411">
        <w:rPr>
          <w:rFonts w:cstheme="minorHAnsi"/>
        </w:rPr>
        <w:t>% u odnosu na godišnji plan za 202</w:t>
      </w:r>
      <w:r w:rsidR="008649B9">
        <w:rPr>
          <w:rFonts w:cstheme="minorHAnsi"/>
        </w:rPr>
        <w:t>4</w:t>
      </w:r>
      <w:r w:rsidRPr="00F43411">
        <w:rPr>
          <w:rFonts w:cstheme="minorHAnsi"/>
        </w:rPr>
        <w:t>. godinu.</w:t>
      </w:r>
    </w:p>
    <w:p w14:paraId="34C233FC" w14:textId="333CCEE5" w:rsidR="001C4242" w:rsidRPr="00F43411" w:rsidRDefault="00000000">
      <w:pPr>
        <w:jc w:val="both"/>
        <w:rPr>
          <w:rFonts w:cstheme="minorHAnsi"/>
          <w:b/>
          <w:bCs/>
        </w:rPr>
      </w:pPr>
      <w:r w:rsidRPr="00F43411">
        <w:rPr>
          <w:rFonts w:cstheme="minorHAnsi"/>
          <w:b/>
          <w:bCs/>
        </w:rPr>
        <w:tab/>
        <w:t xml:space="preserve">- </w:t>
      </w:r>
      <w:r w:rsidRPr="00F43411">
        <w:rPr>
          <w:rFonts w:cstheme="minorHAnsi"/>
        </w:rPr>
        <w:t>kapitalne pomoći (3</w:t>
      </w:r>
      <w:r w:rsidR="00F43411" w:rsidRPr="00F43411">
        <w:rPr>
          <w:rFonts w:cstheme="minorHAnsi"/>
        </w:rPr>
        <w:t>8</w:t>
      </w:r>
      <w:r w:rsidRPr="00F43411">
        <w:rPr>
          <w:rFonts w:cstheme="minorHAnsi"/>
        </w:rPr>
        <w:t xml:space="preserve">6) u iznosu od </w:t>
      </w:r>
      <w:r w:rsidR="008649B9">
        <w:rPr>
          <w:rFonts w:cstheme="minorHAnsi"/>
        </w:rPr>
        <w:t>47</w:t>
      </w:r>
      <w:r w:rsidRPr="00F43411">
        <w:rPr>
          <w:rFonts w:cstheme="minorHAnsi"/>
        </w:rPr>
        <w:t>.</w:t>
      </w:r>
      <w:r w:rsidR="008649B9">
        <w:rPr>
          <w:rFonts w:cstheme="minorHAnsi"/>
        </w:rPr>
        <w:t>255</w:t>
      </w:r>
      <w:r w:rsidR="00F43411" w:rsidRPr="00F43411">
        <w:rPr>
          <w:rFonts w:cstheme="minorHAnsi"/>
        </w:rPr>
        <w:t>,</w:t>
      </w:r>
      <w:r w:rsidR="008649B9">
        <w:rPr>
          <w:rFonts w:cstheme="minorHAnsi"/>
        </w:rPr>
        <w:t>11</w:t>
      </w:r>
      <w:r w:rsidRPr="00F43411">
        <w:rPr>
          <w:rFonts w:cstheme="minorHAnsi"/>
        </w:rPr>
        <w:t xml:space="preserve"> eura</w:t>
      </w:r>
      <w:r w:rsidR="00F43411" w:rsidRPr="00F43411">
        <w:rPr>
          <w:rFonts w:cstheme="minorHAnsi"/>
        </w:rPr>
        <w:t xml:space="preserve"> ili </w:t>
      </w:r>
      <w:r w:rsidR="008649B9">
        <w:rPr>
          <w:rFonts w:cstheme="minorHAnsi"/>
        </w:rPr>
        <w:t>15</w:t>
      </w:r>
      <w:r w:rsidR="00F43411" w:rsidRPr="00F43411">
        <w:rPr>
          <w:rFonts w:cstheme="minorHAnsi"/>
        </w:rPr>
        <w:t>,</w:t>
      </w:r>
      <w:r w:rsidR="008649B9">
        <w:rPr>
          <w:rFonts w:cstheme="minorHAnsi"/>
        </w:rPr>
        <w:t>37</w:t>
      </w:r>
      <w:r w:rsidR="00F43411" w:rsidRPr="00F43411">
        <w:rPr>
          <w:rFonts w:cstheme="minorHAnsi"/>
        </w:rPr>
        <w:t>% u odnosu na godišnji plan za 202</w:t>
      </w:r>
      <w:r w:rsidR="008649B9">
        <w:rPr>
          <w:rFonts w:cstheme="minorHAnsi"/>
        </w:rPr>
        <w:t>4</w:t>
      </w:r>
      <w:r w:rsidR="00F43411" w:rsidRPr="00F43411">
        <w:rPr>
          <w:rFonts w:cstheme="minorHAnsi"/>
        </w:rPr>
        <w:t>. godinu</w:t>
      </w:r>
      <w:r w:rsidRPr="00F43411">
        <w:rPr>
          <w:rFonts w:cstheme="minorHAnsi"/>
        </w:rPr>
        <w:t>.</w:t>
      </w:r>
    </w:p>
    <w:p w14:paraId="19512630" w14:textId="77777777" w:rsidR="001C4242" w:rsidRDefault="00000000">
      <w:pPr>
        <w:ind w:firstLine="708"/>
        <w:jc w:val="both"/>
        <w:rPr>
          <w:rFonts w:cstheme="minorHAnsi"/>
          <w:b/>
          <w:bCs/>
        </w:rPr>
      </w:pPr>
      <w:r w:rsidRPr="00C94300">
        <w:rPr>
          <w:rFonts w:cstheme="minorHAnsi"/>
          <w:b/>
          <w:bCs/>
        </w:rPr>
        <w:t>Prikaz ostvarenja rashoda za nabavu nefinancijske imovine:</w:t>
      </w:r>
    </w:p>
    <w:p w14:paraId="4B46EE83" w14:textId="5A6D76B0" w:rsidR="008649B9" w:rsidRPr="008649B9" w:rsidRDefault="008649B9">
      <w:pPr>
        <w:ind w:firstLine="708"/>
        <w:jc w:val="both"/>
        <w:rPr>
          <w:rFonts w:cstheme="minorHAnsi"/>
        </w:rPr>
      </w:pPr>
      <w:r w:rsidRPr="008649B9">
        <w:rPr>
          <w:rFonts w:cstheme="minorHAnsi"/>
        </w:rPr>
        <w:t>- materijalna imovina – prirodna bogatstva</w:t>
      </w:r>
      <w:r>
        <w:rPr>
          <w:rFonts w:cstheme="minorHAnsi"/>
        </w:rPr>
        <w:t xml:space="preserve"> (411) u iznosu od 5.938,00 eura ili 12,93% u odnosu na godišnji plan za 2024. godinu, </w:t>
      </w:r>
    </w:p>
    <w:p w14:paraId="5932B888" w14:textId="609BF082" w:rsidR="001C4242" w:rsidRPr="00C94300" w:rsidRDefault="00000000">
      <w:pPr>
        <w:ind w:firstLine="708"/>
        <w:jc w:val="both"/>
        <w:rPr>
          <w:rFonts w:cstheme="minorHAnsi"/>
        </w:rPr>
      </w:pPr>
      <w:r w:rsidRPr="00C94300">
        <w:rPr>
          <w:rFonts w:cstheme="minorHAnsi"/>
        </w:rPr>
        <w:t xml:space="preserve">- građevinski objekti (421) u iznosu od </w:t>
      </w:r>
      <w:r w:rsidR="008649B9">
        <w:rPr>
          <w:rFonts w:cstheme="minorHAnsi"/>
        </w:rPr>
        <w:t>502</w:t>
      </w:r>
      <w:r w:rsidRPr="00C94300">
        <w:rPr>
          <w:rFonts w:cstheme="minorHAnsi"/>
        </w:rPr>
        <w:t>.</w:t>
      </w:r>
      <w:r w:rsidR="008649B9">
        <w:rPr>
          <w:rFonts w:cstheme="minorHAnsi"/>
        </w:rPr>
        <w:t>559,89</w:t>
      </w:r>
      <w:r w:rsidRPr="00C94300">
        <w:rPr>
          <w:rFonts w:cstheme="minorHAnsi"/>
        </w:rPr>
        <w:t xml:space="preserve"> eura ili </w:t>
      </w:r>
      <w:r w:rsidR="008649B9">
        <w:rPr>
          <w:rFonts w:cstheme="minorHAnsi"/>
        </w:rPr>
        <w:t>63</w:t>
      </w:r>
      <w:r w:rsidRPr="00C94300">
        <w:rPr>
          <w:rFonts w:cstheme="minorHAnsi"/>
        </w:rPr>
        <w:t>,</w:t>
      </w:r>
      <w:r w:rsidR="008649B9">
        <w:rPr>
          <w:rFonts w:cstheme="minorHAnsi"/>
        </w:rPr>
        <w:t>06</w:t>
      </w:r>
      <w:r w:rsidR="00F43411" w:rsidRPr="00C94300">
        <w:rPr>
          <w:rFonts w:cstheme="minorHAnsi"/>
        </w:rPr>
        <w:t>%</w:t>
      </w:r>
      <w:r w:rsidRPr="00C94300">
        <w:rPr>
          <w:rFonts w:cstheme="minorHAnsi"/>
        </w:rPr>
        <w:t xml:space="preserve"> u odnosu na godišnji plan za 202</w:t>
      </w:r>
      <w:r w:rsidR="008649B9">
        <w:rPr>
          <w:rFonts w:cstheme="minorHAnsi"/>
        </w:rPr>
        <w:t>4</w:t>
      </w:r>
      <w:r w:rsidRPr="00C94300">
        <w:rPr>
          <w:rFonts w:cstheme="minorHAnsi"/>
        </w:rPr>
        <w:t>. godinu,</w:t>
      </w:r>
    </w:p>
    <w:p w14:paraId="09DE22FC" w14:textId="6ADB2E9A" w:rsidR="001C4242" w:rsidRPr="00C94300" w:rsidRDefault="00000000">
      <w:pPr>
        <w:ind w:firstLine="708"/>
        <w:jc w:val="both"/>
        <w:rPr>
          <w:rFonts w:cstheme="minorHAnsi"/>
        </w:rPr>
      </w:pPr>
      <w:r w:rsidRPr="00C94300">
        <w:rPr>
          <w:rFonts w:cstheme="minorHAnsi"/>
        </w:rPr>
        <w:t xml:space="preserve">- postrojenja i oprema (422) u iznosu od </w:t>
      </w:r>
      <w:r w:rsidR="008649B9">
        <w:rPr>
          <w:rFonts w:cstheme="minorHAnsi"/>
        </w:rPr>
        <w:t>15.195,48</w:t>
      </w:r>
      <w:r w:rsidRPr="00C94300">
        <w:rPr>
          <w:rFonts w:cstheme="minorHAnsi"/>
        </w:rPr>
        <w:t xml:space="preserve"> eura ili </w:t>
      </w:r>
      <w:r w:rsidR="008649B9">
        <w:rPr>
          <w:rFonts w:cstheme="minorHAnsi"/>
        </w:rPr>
        <w:t>5</w:t>
      </w:r>
      <w:r w:rsidR="00F43411" w:rsidRPr="00C94300">
        <w:rPr>
          <w:rFonts w:cstheme="minorHAnsi"/>
        </w:rPr>
        <w:t>0</w:t>
      </w:r>
      <w:r w:rsidRPr="00C94300">
        <w:rPr>
          <w:rFonts w:cstheme="minorHAnsi"/>
        </w:rPr>
        <w:t>,</w:t>
      </w:r>
      <w:r w:rsidR="008649B9">
        <w:rPr>
          <w:rFonts w:cstheme="minorHAnsi"/>
        </w:rPr>
        <w:t>65</w:t>
      </w:r>
      <w:r w:rsidRPr="00C94300">
        <w:rPr>
          <w:rFonts w:cstheme="minorHAnsi"/>
        </w:rPr>
        <w:t>% u odnosu na godišnji plan za 202</w:t>
      </w:r>
      <w:r w:rsidR="008649B9">
        <w:rPr>
          <w:rFonts w:cstheme="minorHAnsi"/>
        </w:rPr>
        <w:t>4</w:t>
      </w:r>
      <w:r w:rsidRPr="00C94300">
        <w:rPr>
          <w:rFonts w:cstheme="minorHAnsi"/>
        </w:rPr>
        <w:t>. godinu,</w:t>
      </w:r>
    </w:p>
    <w:p w14:paraId="29F0CE67" w14:textId="30F9E8C2" w:rsidR="001C4242" w:rsidRPr="00C94300" w:rsidRDefault="00000000">
      <w:pPr>
        <w:ind w:firstLine="708"/>
        <w:jc w:val="both"/>
        <w:rPr>
          <w:rFonts w:cstheme="minorHAnsi"/>
        </w:rPr>
      </w:pPr>
      <w:r w:rsidRPr="00C94300">
        <w:rPr>
          <w:rFonts w:cstheme="minorHAnsi"/>
        </w:rPr>
        <w:t xml:space="preserve">- nematerijalna proizvedena imovina (426) u iznosu od </w:t>
      </w:r>
      <w:r w:rsidR="008649B9">
        <w:rPr>
          <w:rFonts w:cstheme="minorHAnsi"/>
        </w:rPr>
        <w:t>14.835,36</w:t>
      </w:r>
      <w:r w:rsidRPr="00C94300">
        <w:rPr>
          <w:rFonts w:cstheme="minorHAnsi"/>
        </w:rPr>
        <w:t xml:space="preserve"> eura ili </w:t>
      </w:r>
      <w:r w:rsidR="008649B9">
        <w:rPr>
          <w:rFonts w:cstheme="minorHAnsi"/>
        </w:rPr>
        <w:t>72</w:t>
      </w:r>
      <w:r w:rsidRPr="00C94300">
        <w:rPr>
          <w:rFonts w:cstheme="minorHAnsi"/>
        </w:rPr>
        <w:t>,</w:t>
      </w:r>
      <w:r w:rsidR="008649B9">
        <w:rPr>
          <w:rFonts w:cstheme="minorHAnsi"/>
        </w:rPr>
        <w:t>37</w:t>
      </w:r>
      <w:r w:rsidRPr="00C94300">
        <w:rPr>
          <w:rFonts w:cstheme="minorHAnsi"/>
        </w:rPr>
        <w:t>% u odnosu na godišnji plan za 202</w:t>
      </w:r>
      <w:r w:rsidR="008649B9">
        <w:rPr>
          <w:rFonts w:cstheme="minorHAnsi"/>
        </w:rPr>
        <w:t>4</w:t>
      </w:r>
      <w:r w:rsidRPr="00C94300">
        <w:rPr>
          <w:rFonts w:cstheme="minorHAnsi"/>
        </w:rPr>
        <w:t>. godinu,</w:t>
      </w:r>
    </w:p>
    <w:p w14:paraId="162B0961" w14:textId="13C8E14C" w:rsidR="001C4242" w:rsidRDefault="00000000">
      <w:pPr>
        <w:ind w:firstLine="708"/>
        <w:jc w:val="both"/>
        <w:rPr>
          <w:rFonts w:cstheme="minorHAnsi"/>
        </w:rPr>
      </w:pPr>
      <w:r w:rsidRPr="00C94300">
        <w:rPr>
          <w:rFonts w:cstheme="minorHAnsi"/>
        </w:rPr>
        <w:t xml:space="preserve">- dodatna ulaganja na građevinskim objektima (451) u iznosu od </w:t>
      </w:r>
      <w:r w:rsidR="008649B9">
        <w:rPr>
          <w:rFonts w:cstheme="minorHAnsi"/>
        </w:rPr>
        <w:t>3</w:t>
      </w:r>
      <w:r w:rsidRPr="00C94300">
        <w:rPr>
          <w:rFonts w:cstheme="minorHAnsi"/>
        </w:rPr>
        <w:t>.</w:t>
      </w:r>
      <w:r w:rsidR="008649B9">
        <w:rPr>
          <w:rFonts w:cstheme="minorHAnsi"/>
        </w:rPr>
        <w:t>125</w:t>
      </w:r>
      <w:r w:rsidRPr="00C94300">
        <w:rPr>
          <w:rFonts w:cstheme="minorHAnsi"/>
        </w:rPr>
        <w:t>,</w:t>
      </w:r>
      <w:r w:rsidR="008649B9">
        <w:rPr>
          <w:rFonts w:cstheme="minorHAnsi"/>
        </w:rPr>
        <w:t>00</w:t>
      </w:r>
      <w:r w:rsidRPr="00C94300">
        <w:rPr>
          <w:rFonts w:cstheme="minorHAnsi"/>
        </w:rPr>
        <w:t xml:space="preserve"> eura ili </w:t>
      </w:r>
      <w:r w:rsidR="008649B9">
        <w:rPr>
          <w:rFonts w:cstheme="minorHAnsi"/>
        </w:rPr>
        <w:t>3</w:t>
      </w:r>
      <w:r w:rsidRPr="00C94300">
        <w:rPr>
          <w:rFonts w:cstheme="minorHAnsi"/>
        </w:rPr>
        <w:t>,</w:t>
      </w:r>
      <w:r w:rsidR="008649B9">
        <w:rPr>
          <w:rFonts w:cstheme="minorHAnsi"/>
        </w:rPr>
        <w:t>03</w:t>
      </w:r>
      <w:r w:rsidRPr="00C94300">
        <w:rPr>
          <w:rFonts w:cstheme="minorHAnsi"/>
        </w:rPr>
        <w:t>% u odnosu na godišnji plan za 202</w:t>
      </w:r>
      <w:r w:rsidR="008649B9">
        <w:rPr>
          <w:rFonts w:cstheme="minorHAnsi"/>
        </w:rPr>
        <w:t>4</w:t>
      </w:r>
      <w:r w:rsidRPr="00C94300">
        <w:rPr>
          <w:rFonts w:cstheme="minorHAnsi"/>
        </w:rPr>
        <w:t>. godinu.</w:t>
      </w:r>
    </w:p>
    <w:p w14:paraId="3B388B5D" w14:textId="77777777" w:rsidR="008649B9" w:rsidRDefault="008649B9">
      <w:pPr>
        <w:ind w:firstLine="708"/>
        <w:jc w:val="both"/>
        <w:rPr>
          <w:rFonts w:cstheme="minorHAnsi"/>
        </w:rPr>
      </w:pPr>
    </w:p>
    <w:p w14:paraId="60FC10D2" w14:textId="77777777" w:rsidR="008649B9" w:rsidRDefault="008649B9">
      <w:pPr>
        <w:ind w:firstLine="708"/>
        <w:jc w:val="both"/>
        <w:rPr>
          <w:rFonts w:cstheme="minorHAnsi"/>
        </w:rPr>
      </w:pPr>
    </w:p>
    <w:p w14:paraId="6567A042" w14:textId="77777777" w:rsidR="006716E0" w:rsidRPr="00C94300" w:rsidRDefault="006716E0">
      <w:pPr>
        <w:ind w:firstLine="708"/>
        <w:jc w:val="both"/>
        <w:rPr>
          <w:rFonts w:cstheme="minorHAnsi"/>
        </w:rPr>
      </w:pPr>
    </w:p>
    <w:p w14:paraId="0C139E6A" w14:textId="411E35FD" w:rsidR="001C4242" w:rsidRDefault="00000000">
      <w:pPr>
        <w:jc w:val="both"/>
        <w:rPr>
          <w:rFonts w:cstheme="minorHAnsi"/>
          <w:i/>
          <w:iCs/>
        </w:rPr>
      </w:pPr>
      <w:r>
        <w:rPr>
          <w:rFonts w:cstheme="minorHAnsi"/>
        </w:rPr>
        <w:lastRenderedPageBreak/>
        <w:t xml:space="preserve"> </w:t>
      </w:r>
      <w:r>
        <w:rPr>
          <w:rFonts w:cstheme="minorHAnsi"/>
          <w:i/>
          <w:iCs/>
        </w:rPr>
        <w:t>3.2. Obrazloženje posebnog dijela izvještaja o izvršenju proračuna</w:t>
      </w:r>
    </w:p>
    <w:p w14:paraId="67B1099E" w14:textId="77777777" w:rsidR="001C4242" w:rsidRDefault="00000000">
      <w:pPr>
        <w:jc w:val="both"/>
        <w:rPr>
          <w:rFonts w:cstheme="minorHAnsi"/>
          <w:b/>
        </w:rPr>
      </w:pPr>
      <w:r>
        <w:rPr>
          <w:rFonts w:cstheme="minorHAnsi"/>
          <w:b/>
        </w:rPr>
        <w:tab/>
        <w:t>00101 – OPĆINSKO VIJEĆE</w:t>
      </w:r>
    </w:p>
    <w:p w14:paraId="0DCAECAF" w14:textId="77777777" w:rsidR="001C4242" w:rsidRDefault="00000000">
      <w:pPr>
        <w:jc w:val="both"/>
        <w:rPr>
          <w:rFonts w:cstheme="minorHAnsi"/>
          <w:b/>
        </w:rPr>
      </w:pPr>
      <w:r>
        <w:rPr>
          <w:rFonts w:cstheme="minorHAnsi"/>
          <w:b/>
        </w:rPr>
        <w:tab/>
        <w:t>PROGRAM 1001 JAVNA UPRAVA I ADMINISTRACIJA</w:t>
      </w:r>
    </w:p>
    <w:p w14:paraId="3CE6B9D6" w14:textId="263728C6" w:rsidR="001C4242" w:rsidRDefault="00000000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</w:rPr>
        <w:tab/>
        <w:t xml:space="preserve">U okviru gore navedenog programa evidentirani su rashodi za uredski materijal, usluge promidžbe i informiranja – objava akata u Službenom glasniku Međimurske županije,  naknade vijećnicima i redovno financiranje političkih stranaka. Planirana sredstva u iznosu od </w:t>
      </w:r>
      <w:r w:rsidR="008649B9">
        <w:rPr>
          <w:rFonts w:cstheme="minorHAnsi"/>
        </w:rPr>
        <w:t>7.700</w:t>
      </w:r>
      <w:r>
        <w:rPr>
          <w:rFonts w:cstheme="minorHAnsi"/>
        </w:rPr>
        <w:t xml:space="preserve">,00 eura ostvarena su u iznosu od </w:t>
      </w:r>
      <w:r w:rsidR="008649B9">
        <w:rPr>
          <w:rFonts w:cstheme="minorHAnsi"/>
        </w:rPr>
        <w:t>5</w:t>
      </w:r>
      <w:r w:rsidR="0078222F">
        <w:rPr>
          <w:rFonts w:cstheme="minorHAnsi"/>
        </w:rPr>
        <w:t>.</w:t>
      </w:r>
      <w:r w:rsidR="008649B9">
        <w:rPr>
          <w:rFonts w:cstheme="minorHAnsi"/>
        </w:rPr>
        <w:t>559</w:t>
      </w:r>
      <w:r w:rsidR="0078222F">
        <w:rPr>
          <w:rFonts w:cstheme="minorHAnsi"/>
        </w:rPr>
        <w:t>,</w:t>
      </w:r>
      <w:r w:rsidR="008649B9">
        <w:rPr>
          <w:rFonts w:cstheme="minorHAnsi"/>
        </w:rPr>
        <w:t>58</w:t>
      </w:r>
      <w:r>
        <w:rPr>
          <w:rFonts w:cstheme="minorHAnsi"/>
        </w:rPr>
        <w:t xml:space="preserve"> eura ili </w:t>
      </w:r>
      <w:r w:rsidR="008649B9">
        <w:rPr>
          <w:rFonts w:cstheme="minorHAnsi"/>
        </w:rPr>
        <w:t>72</w:t>
      </w:r>
      <w:r>
        <w:rPr>
          <w:rFonts w:cstheme="minorHAnsi"/>
        </w:rPr>
        <w:t>,</w:t>
      </w:r>
      <w:r w:rsidR="008649B9">
        <w:rPr>
          <w:rFonts w:cstheme="minorHAnsi"/>
        </w:rPr>
        <w:t>20</w:t>
      </w:r>
      <w:r>
        <w:rPr>
          <w:rFonts w:cstheme="minorHAnsi"/>
        </w:rPr>
        <w:t xml:space="preserve">%.       </w:t>
      </w:r>
      <w:r>
        <w:rPr>
          <w:rFonts w:cstheme="minorHAnsi"/>
        </w:rPr>
        <w:tab/>
      </w:r>
    </w:p>
    <w:p w14:paraId="7A740C6C" w14:textId="77777777" w:rsidR="001C4242" w:rsidRDefault="00000000">
      <w:pPr>
        <w:ind w:firstLine="708"/>
        <w:jc w:val="both"/>
        <w:rPr>
          <w:rFonts w:cstheme="minorHAnsi"/>
          <w:b/>
        </w:rPr>
      </w:pPr>
      <w:r>
        <w:rPr>
          <w:rFonts w:cstheme="minorHAnsi"/>
        </w:rPr>
        <w:t xml:space="preserve">Cilj programa je omogućiti rad predstavničkog tijela kako bi se zadovoljile sve osnovne potrebe mještana na području jedinice lokalne samouprave. </w:t>
      </w:r>
      <w:r>
        <w:rPr>
          <w:rFonts w:cstheme="minorHAnsi"/>
          <w:b/>
        </w:rPr>
        <w:t xml:space="preserve"> </w:t>
      </w:r>
    </w:p>
    <w:p w14:paraId="510D8897" w14:textId="77777777" w:rsidR="001C4242" w:rsidRDefault="00000000">
      <w:pPr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t>00201 – JEDINSTVENI UPRAVNI ODJEL</w:t>
      </w:r>
    </w:p>
    <w:p w14:paraId="0F3DDE5A" w14:textId="77777777" w:rsidR="001C4242" w:rsidRDefault="00000000">
      <w:pPr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t>PROGRAM 1001 JAVNA UPRAVA I ADMINISTRACIJA</w:t>
      </w:r>
    </w:p>
    <w:p w14:paraId="5387DFD6" w14:textId="537BE1F0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Program javna uprava i administracija obuhvaća rashode za zaposlene, materijalne i financijske rashode, kao i rashode za nabavu nefinancijske  imovine. Rashodi za zaposlene planirani su u iznosu od </w:t>
      </w:r>
      <w:r w:rsidR="00865A77">
        <w:rPr>
          <w:rFonts w:cstheme="minorHAnsi"/>
        </w:rPr>
        <w:t>145</w:t>
      </w:r>
      <w:r>
        <w:rPr>
          <w:rFonts w:cstheme="minorHAnsi"/>
        </w:rPr>
        <w:t>.</w:t>
      </w:r>
      <w:r w:rsidR="00865A77">
        <w:rPr>
          <w:rFonts w:cstheme="minorHAnsi"/>
        </w:rPr>
        <w:t>210</w:t>
      </w:r>
      <w:r>
        <w:rPr>
          <w:rFonts w:cstheme="minorHAnsi"/>
        </w:rPr>
        <w:t xml:space="preserve">,00 eura, a izvršeni u iznosu od </w:t>
      </w:r>
      <w:r w:rsidR="00865A77">
        <w:rPr>
          <w:rFonts w:cstheme="minorHAnsi"/>
        </w:rPr>
        <w:t>141</w:t>
      </w:r>
      <w:r w:rsidR="0078222F">
        <w:rPr>
          <w:rFonts w:cstheme="minorHAnsi"/>
        </w:rPr>
        <w:t>.</w:t>
      </w:r>
      <w:r w:rsidR="00865A77">
        <w:rPr>
          <w:rFonts w:cstheme="minorHAnsi"/>
        </w:rPr>
        <w:t>865,41</w:t>
      </w:r>
      <w:r>
        <w:rPr>
          <w:rFonts w:cstheme="minorHAnsi"/>
        </w:rPr>
        <w:t xml:space="preserve"> eura ili </w:t>
      </w:r>
      <w:r w:rsidR="0078222F">
        <w:rPr>
          <w:rFonts w:cstheme="minorHAnsi"/>
        </w:rPr>
        <w:t>9</w:t>
      </w:r>
      <w:r w:rsidR="00865A77">
        <w:rPr>
          <w:rFonts w:cstheme="minorHAnsi"/>
        </w:rPr>
        <w:t>7</w:t>
      </w:r>
      <w:r>
        <w:rPr>
          <w:rFonts w:cstheme="minorHAnsi"/>
        </w:rPr>
        <w:t>,</w:t>
      </w:r>
      <w:r w:rsidR="00865A77">
        <w:rPr>
          <w:rFonts w:cstheme="minorHAnsi"/>
        </w:rPr>
        <w:t>70</w:t>
      </w:r>
      <w:r>
        <w:rPr>
          <w:rFonts w:cstheme="minorHAnsi"/>
        </w:rPr>
        <w:t xml:space="preserve">%. Materijalni rashodi su planirani u iznosu od </w:t>
      </w:r>
      <w:r w:rsidR="00865A77">
        <w:rPr>
          <w:rFonts w:cstheme="minorHAnsi"/>
        </w:rPr>
        <w:t>172.401,67</w:t>
      </w:r>
      <w:r>
        <w:rPr>
          <w:rFonts w:cstheme="minorHAnsi"/>
        </w:rPr>
        <w:t xml:space="preserve"> eura, a realizirani u iznosu od </w:t>
      </w:r>
      <w:r w:rsidR="00865A77">
        <w:rPr>
          <w:rFonts w:cstheme="minorHAnsi"/>
        </w:rPr>
        <w:t>149.999,71</w:t>
      </w:r>
      <w:r>
        <w:rPr>
          <w:rFonts w:cstheme="minorHAnsi"/>
        </w:rPr>
        <w:t xml:space="preserve"> eura, tj. na razini od </w:t>
      </w:r>
      <w:r w:rsidR="0078222F">
        <w:rPr>
          <w:rFonts w:cstheme="minorHAnsi"/>
        </w:rPr>
        <w:t>8</w:t>
      </w:r>
      <w:r w:rsidR="00865A77">
        <w:rPr>
          <w:rFonts w:cstheme="minorHAnsi"/>
        </w:rPr>
        <w:t>7</w:t>
      </w:r>
      <w:r>
        <w:rPr>
          <w:rFonts w:cstheme="minorHAnsi"/>
        </w:rPr>
        <w:t>,</w:t>
      </w:r>
      <w:r w:rsidR="00865A77">
        <w:rPr>
          <w:rFonts w:cstheme="minorHAnsi"/>
        </w:rPr>
        <w:t>01</w:t>
      </w:r>
      <w:r>
        <w:rPr>
          <w:rFonts w:cstheme="minorHAnsi"/>
        </w:rPr>
        <w:t xml:space="preserve">%. Financijski rashodi za izvještajno razdoblje iznose </w:t>
      </w:r>
      <w:r w:rsidR="00865A77">
        <w:rPr>
          <w:rFonts w:cstheme="minorHAnsi"/>
        </w:rPr>
        <w:t>1.287,74</w:t>
      </w:r>
      <w:r>
        <w:rPr>
          <w:rFonts w:cstheme="minorHAnsi"/>
        </w:rPr>
        <w:t xml:space="preserve"> eura, tj. realizirani su na razini </w:t>
      </w:r>
      <w:r w:rsidR="00865A77">
        <w:rPr>
          <w:rFonts w:cstheme="minorHAnsi"/>
        </w:rPr>
        <w:t>51</w:t>
      </w:r>
      <w:r w:rsidR="0078222F">
        <w:rPr>
          <w:rFonts w:cstheme="minorHAnsi"/>
        </w:rPr>
        <w:t>,</w:t>
      </w:r>
      <w:r w:rsidR="00865A77">
        <w:rPr>
          <w:rFonts w:cstheme="minorHAnsi"/>
        </w:rPr>
        <w:t>51</w:t>
      </w:r>
      <w:r>
        <w:rPr>
          <w:rFonts w:cstheme="minorHAnsi"/>
        </w:rPr>
        <w:t xml:space="preserve">%. Rashodi za nabavu nefinancijske imovine su realizirani u iznosu od </w:t>
      </w:r>
      <w:r w:rsidR="00865A77">
        <w:rPr>
          <w:rFonts w:cstheme="minorHAnsi"/>
        </w:rPr>
        <w:t>41.930,40</w:t>
      </w:r>
      <w:r>
        <w:rPr>
          <w:rFonts w:cstheme="minorHAnsi"/>
        </w:rPr>
        <w:t xml:space="preserve"> eura</w:t>
      </w:r>
      <w:r w:rsidR="00061AC0">
        <w:rPr>
          <w:rFonts w:cstheme="minorHAnsi"/>
        </w:rPr>
        <w:t xml:space="preserve"> ili 142,44</w:t>
      </w:r>
      <w:r w:rsidR="006716E0">
        <w:rPr>
          <w:rFonts w:cstheme="minorHAnsi"/>
        </w:rPr>
        <w:t>%</w:t>
      </w:r>
      <w:r w:rsidR="00061AC0">
        <w:rPr>
          <w:rFonts w:cstheme="minorHAnsi"/>
        </w:rPr>
        <w:t xml:space="preserve">, od čega se iznos od 12.500,00 eura odnosi na </w:t>
      </w:r>
      <w:proofErr w:type="spellStart"/>
      <w:r w:rsidR="00061AC0">
        <w:rPr>
          <w:rFonts w:cstheme="minorHAnsi"/>
        </w:rPr>
        <w:t>ošasnu</w:t>
      </w:r>
      <w:proofErr w:type="spellEnd"/>
      <w:r w:rsidR="00061AC0">
        <w:rPr>
          <w:rFonts w:cstheme="minorHAnsi"/>
        </w:rPr>
        <w:t xml:space="preserve"> imovinu</w:t>
      </w:r>
      <w:r>
        <w:rPr>
          <w:rFonts w:cstheme="minorHAnsi"/>
        </w:rPr>
        <w:t xml:space="preserve">. U sklopu aktivnosti zapošljavanja nezaposlenih osoba u javnom radu od planiranih </w:t>
      </w:r>
      <w:r w:rsidR="00061AC0">
        <w:rPr>
          <w:rFonts w:cstheme="minorHAnsi"/>
        </w:rPr>
        <w:t>328,63</w:t>
      </w:r>
      <w:r>
        <w:rPr>
          <w:rFonts w:cstheme="minorHAnsi"/>
        </w:rPr>
        <w:t xml:space="preserve"> eura utrošen</w:t>
      </w:r>
      <w:r w:rsidR="00061AC0">
        <w:rPr>
          <w:rFonts w:cstheme="minorHAnsi"/>
        </w:rPr>
        <w:t>a su ukupna sredstva</w:t>
      </w:r>
      <w:r w:rsidR="00D22E2E">
        <w:rPr>
          <w:rFonts w:cstheme="minorHAnsi"/>
        </w:rPr>
        <w:t>. U</w:t>
      </w:r>
      <w:r w:rsidR="00061AC0">
        <w:rPr>
          <w:rFonts w:cstheme="minorHAnsi"/>
        </w:rPr>
        <w:t xml:space="preserve"> sklopu aktivnosti Dan Općine i Štrigovske noći </w:t>
      </w:r>
      <w:r w:rsidR="00D22E2E">
        <w:rPr>
          <w:rFonts w:cstheme="minorHAnsi"/>
        </w:rPr>
        <w:t xml:space="preserve">utrošena su ukupna planirana sredstva od </w:t>
      </w:r>
      <w:r w:rsidR="00061AC0">
        <w:rPr>
          <w:rFonts w:cstheme="minorHAnsi"/>
        </w:rPr>
        <w:t>13.</w:t>
      </w:r>
      <w:r w:rsidR="00D22E2E">
        <w:rPr>
          <w:rFonts w:cstheme="minorHAnsi"/>
        </w:rPr>
        <w:t xml:space="preserve">863,85 eura. </w:t>
      </w:r>
      <w:r>
        <w:rPr>
          <w:rFonts w:cstheme="minorHAnsi"/>
        </w:rPr>
        <w:t>Sredstva proračunske rezerve nisu korištena u 202</w:t>
      </w:r>
      <w:r w:rsidR="00D22E2E">
        <w:rPr>
          <w:rFonts w:cstheme="minorHAnsi"/>
        </w:rPr>
        <w:t>4</w:t>
      </w:r>
      <w:r>
        <w:rPr>
          <w:rFonts w:cstheme="minorHAnsi"/>
        </w:rPr>
        <w:t>. godin</w:t>
      </w:r>
      <w:r w:rsidR="00BB547D">
        <w:rPr>
          <w:rFonts w:cstheme="minorHAnsi"/>
        </w:rPr>
        <w:t>i</w:t>
      </w:r>
      <w:r>
        <w:rPr>
          <w:rFonts w:cstheme="minorHAnsi"/>
        </w:rPr>
        <w:t xml:space="preserve">. </w:t>
      </w:r>
    </w:p>
    <w:p w14:paraId="1EA2F6FA" w14:textId="611CDEEA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Cjelokupni program je planiran u iznosu od </w:t>
      </w:r>
      <w:r w:rsidR="00E54BEF">
        <w:rPr>
          <w:rFonts w:cstheme="minorHAnsi"/>
        </w:rPr>
        <w:t>3</w:t>
      </w:r>
      <w:r w:rsidR="00D22E2E">
        <w:rPr>
          <w:rFonts w:cstheme="minorHAnsi"/>
        </w:rPr>
        <w:t>67</w:t>
      </w:r>
      <w:r w:rsidR="00E54BEF">
        <w:rPr>
          <w:rFonts w:cstheme="minorHAnsi"/>
        </w:rPr>
        <w:t>.</w:t>
      </w:r>
      <w:r w:rsidR="00D22E2E">
        <w:rPr>
          <w:rFonts w:cstheme="minorHAnsi"/>
        </w:rPr>
        <w:t>241</w:t>
      </w:r>
      <w:r w:rsidR="00E54BEF">
        <w:rPr>
          <w:rFonts w:cstheme="minorHAnsi"/>
        </w:rPr>
        <w:t>,</w:t>
      </w:r>
      <w:r w:rsidR="00D22E2E">
        <w:rPr>
          <w:rFonts w:cstheme="minorHAnsi"/>
        </w:rPr>
        <w:t>95</w:t>
      </w:r>
      <w:r>
        <w:rPr>
          <w:rFonts w:cstheme="minorHAnsi"/>
        </w:rPr>
        <w:t xml:space="preserve"> eura, a izvršen u iznosu od </w:t>
      </w:r>
      <w:r w:rsidR="00D22E2E">
        <w:rPr>
          <w:rFonts w:cstheme="minorHAnsi"/>
        </w:rPr>
        <w:t>349</w:t>
      </w:r>
      <w:r w:rsidR="00E54BEF">
        <w:rPr>
          <w:rFonts w:cstheme="minorHAnsi"/>
        </w:rPr>
        <w:t>.</w:t>
      </w:r>
      <w:r w:rsidR="00D22E2E">
        <w:rPr>
          <w:rFonts w:cstheme="minorHAnsi"/>
        </w:rPr>
        <w:t>275</w:t>
      </w:r>
      <w:r w:rsidR="00E54BEF">
        <w:rPr>
          <w:rFonts w:cstheme="minorHAnsi"/>
        </w:rPr>
        <w:t>,</w:t>
      </w:r>
      <w:r w:rsidR="00D22E2E">
        <w:rPr>
          <w:rFonts w:cstheme="minorHAnsi"/>
        </w:rPr>
        <w:t>74</w:t>
      </w:r>
      <w:r>
        <w:rPr>
          <w:rFonts w:cstheme="minorHAnsi"/>
        </w:rPr>
        <w:t xml:space="preserve"> eura ili </w:t>
      </w:r>
      <w:r w:rsidR="00D22E2E">
        <w:rPr>
          <w:rFonts w:cstheme="minorHAnsi"/>
        </w:rPr>
        <w:t>95</w:t>
      </w:r>
      <w:r w:rsidR="00E54BEF">
        <w:rPr>
          <w:rFonts w:cstheme="minorHAnsi"/>
        </w:rPr>
        <w:t>,</w:t>
      </w:r>
      <w:r w:rsidR="00D22E2E">
        <w:rPr>
          <w:rFonts w:cstheme="minorHAnsi"/>
        </w:rPr>
        <w:t>11</w:t>
      </w:r>
      <w:r>
        <w:rPr>
          <w:rFonts w:cstheme="minorHAnsi"/>
        </w:rPr>
        <w:t xml:space="preserve">%. </w:t>
      </w:r>
    </w:p>
    <w:p w14:paraId="6CE98D50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>Cilj programa je osigurati nesmetano i kontinuirano funkcioniranje jedinice lokalne samouprave kako bi mogla obavljati sve potrebne zadatke u svom samoupravnom djelokrugu sukladno zakonu.</w:t>
      </w:r>
    </w:p>
    <w:p w14:paraId="56DF349E" w14:textId="77777777" w:rsidR="001C4242" w:rsidRDefault="00000000">
      <w:pPr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t>PROGRAM 1002  ODRŽAVANJE KOMUNALNE INFRASTRUKTURE</w:t>
      </w:r>
      <w:r>
        <w:rPr>
          <w:rFonts w:cstheme="minorHAnsi"/>
          <w:b/>
        </w:rPr>
        <w:tab/>
      </w:r>
    </w:p>
    <w:p w14:paraId="4BF2634B" w14:textId="712D5BB5" w:rsidR="001C4242" w:rsidRDefault="00000000">
      <w:pPr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>Program 1002 sadrži rashode vezane za održavanje komunalne infrastrukture i rashode vezane za nabavu nefinancijske imovine. Sredstva za održavanje komunalne infrastrukture su planirana u iznosu od</w:t>
      </w:r>
      <w:r w:rsidR="00D92392">
        <w:rPr>
          <w:rFonts w:cstheme="minorHAnsi"/>
        </w:rPr>
        <w:t xml:space="preserve"> </w:t>
      </w:r>
      <w:r w:rsidR="00FF0F06">
        <w:rPr>
          <w:rFonts w:cstheme="minorHAnsi"/>
        </w:rPr>
        <w:t>854.300,00</w:t>
      </w:r>
      <w:r>
        <w:rPr>
          <w:rFonts w:cstheme="minorHAnsi"/>
        </w:rPr>
        <w:t xml:space="preserve"> eura, a izvršena u iznosu od </w:t>
      </w:r>
      <w:r w:rsidR="00FF0F06">
        <w:rPr>
          <w:rFonts w:cstheme="minorHAnsi"/>
        </w:rPr>
        <w:t>637.898,05</w:t>
      </w:r>
      <w:r>
        <w:rPr>
          <w:rFonts w:cstheme="minorHAnsi"/>
        </w:rPr>
        <w:t xml:space="preserve"> eura ili </w:t>
      </w:r>
      <w:r w:rsidR="00FF0F06">
        <w:rPr>
          <w:rFonts w:cstheme="minorHAnsi"/>
        </w:rPr>
        <w:t>74</w:t>
      </w:r>
      <w:r>
        <w:rPr>
          <w:rFonts w:cstheme="minorHAnsi"/>
        </w:rPr>
        <w:t>,</w:t>
      </w:r>
      <w:r w:rsidR="00FF0F06">
        <w:rPr>
          <w:rFonts w:cstheme="minorHAnsi"/>
        </w:rPr>
        <w:t>67</w:t>
      </w:r>
      <w:r>
        <w:rPr>
          <w:rFonts w:cstheme="minorHAnsi"/>
        </w:rPr>
        <w:t xml:space="preserve">%. Najznačajniji rashodi su ostvareni za slijedeće: električna energija (utrošak el. energije – zgrade, javna rasvjeta) </w:t>
      </w:r>
      <w:r w:rsidR="00FF0F06">
        <w:rPr>
          <w:rFonts w:cstheme="minorHAnsi"/>
        </w:rPr>
        <w:t>28.084,54</w:t>
      </w:r>
      <w:r>
        <w:rPr>
          <w:rFonts w:cstheme="minorHAnsi"/>
        </w:rPr>
        <w:t xml:space="preserve"> eura,</w:t>
      </w:r>
      <w:r w:rsidR="00FF0F0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šljunčanje</w:t>
      </w:r>
      <w:proofErr w:type="spellEnd"/>
      <w:r>
        <w:rPr>
          <w:rFonts w:cstheme="minorHAnsi"/>
        </w:rPr>
        <w:t xml:space="preserve"> </w:t>
      </w:r>
      <w:r w:rsidR="00D92392">
        <w:rPr>
          <w:rFonts w:cstheme="minorHAnsi"/>
        </w:rPr>
        <w:t>3</w:t>
      </w:r>
      <w:r w:rsidR="00F30E2A">
        <w:rPr>
          <w:rFonts w:cstheme="minorHAnsi"/>
        </w:rPr>
        <w:t>1</w:t>
      </w:r>
      <w:r w:rsidR="00D92392">
        <w:rPr>
          <w:rFonts w:cstheme="minorHAnsi"/>
        </w:rPr>
        <w:t>.</w:t>
      </w:r>
      <w:r w:rsidR="00F30E2A">
        <w:rPr>
          <w:rFonts w:cstheme="minorHAnsi"/>
        </w:rPr>
        <w:t>825</w:t>
      </w:r>
      <w:r w:rsidR="00D92392">
        <w:rPr>
          <w:rFonts w:cstheme="minorHAnsi"/>
        </w:rPr>
        <w:t>,</w:t>
      </w:r>
      <w:r w:rsidR="00F30E2A">
        <w:rPr>
          <w:rFonts w:cstheme="minorHAnsi"/>
        </w:rPr>
        <w:t>00</w:t>
      </w:r>
      <w:r>
        <w:rPr>
          <w:rFonts w:cstheme="minorHAnsi"/>
        </w:rPr>
        <w:t xml:space="preserve"> eura, zemljani radovi </w:t>
      </w:r>
      <w:r w:rsidR="00D92392">
        <w:rPr>
          <w:rFonts w:cstheme="minorHAnsi"/>
        </w:rPr>
        <w:t>8</w:t>
      </w:r>
      <w:r w:rsidR="00F30E2A">
        <w:rPr>
          <w:rFonts w:cstheme="minorHAnsi"/>
        </w:rPr>
        <w:t>0</w:t>
      </w:r>
      <w:r>
        <w:rPr>
          <w:rFonts w:cstheme="minorHAnsi"/>
        </w:rPr>
        <w:t>.</w:t>
      </w:r>
      <w:r w:rsidR="00F30E2A">
        <w:rPr>
          <w:rFonts w:cstheme="minorHAnsi"/>
        </w:rPr>
        <w:t>957</w:t>
      </w:r>
      <w:r w:rsidR="00D92392">
        <w:rPr>
          <w:rFonts w:cstheme="minorHAnsi"/>
        </w:rPr>
        <w:t>,</w:t>
      </w:r>
      <w:r w:rsidR="00F30E2A">
        <w:rPr>
          <w:rFonts w:cstheme="minorHAnsi"/>
        </w:rPr>
        <w:t>19</w:t>
      </w:r>
      <w:r>
        <w:rPr>
          <w:rFonts w:cstheme="minorHAnsi"/>
        </w:rPr>
        <w:t xml:space="preserve"> eura,</w:t>
      </w:r>
      <w:r w:rsidR="00D92392">
        <w:rPr>
          <w:rFonts w:cstheme="minorHAnsi"/>
        </w:rPr>
        <w:t xml:space="preserve"> košnja bankina 3</w:t>
      </w:r>
      <w:r w:rsidR="00F30E2A">
        <w:rPr>
          <w:rFonts w:cstheme="minorHAnsi"/>
        </w:rPr>
        <w:t>2</w:t>
      </w:r>
      <w:r w:rsidR="00D92392">
        <w:rPr>
          <w:rFonts w:cstheme="minorHAnsi"/>
        </w:rPr>
        <w:t>.</w:t>
      </w:r>
      <w:r w:rsidR="00F30E2A">
        <w:rPr>
          <w:rFonts w:cstheme="minorHAnsi"/>
        </w:rPr>
        <w:t>750</w:t>
      </w:r>
      <w:r w:rsidR="00D92392">
        <w:rPr>
          <w:rFonts w:cstheme="minorHAnsi"/>
        </w:rPr>
        <w:t xml:space="preserve">,00 eura, sanacija klizišta </w:t>
      </w:r>
      <w:r w:rsidR="00F30E2A">
        <w:rPr>
          <w:rFonts w:cstheme="minorHAnsi"/>
        </w:rPr>
        <w:t>145.999,14</w:t>
      </w:r>
      <w:r w:rsidR="00D92392">
        <w:rPr>
          <w:rFonts w:cstheme="minorHAnsi"/>
        </w:rPr>
        <w:t xml:space="preserve"> eura,</w:t>
      </w:r>
      <w:r>
        <w:rPr>
          <w:rFonts w:cstheme="minorHAnsi"/>
        </w:rPr>
        <w:t xml:space="preserve"> sanacija asfaltnih površina </w:t>
      </w:r>
      <w:r w:rsidR="00F30E2A">
        <w:rPr>
          <w:rFonts w:cstheme="minorHAnsi"/>
        </w:rPr>
        <w:t>84</w:t>
      </w:r>
      <w:r>
        <w:rPr>
          <w:rFonts w:cstheme="minorHAnsi"/>
        </w:rPr>
        <w:t>.</w:t>
      </w:r>
      <w:r w:rsidR="00F30E2A">
        <w:rPr>
          <w:rFonts w:cstheme="minorHAnsi"/>
        </w:rPr>
        <w:t>122</w:t>
      </w:r>
      <w:r>
        <w:rPr>
          <w:rFonts w:cstheme="minorHAnsi"/>
        </w:rPr>
        <w:t>,</w:t>
      </w:r>
      <w:r w:rsidR="00F30E2A">
        <w:rPr>
          <w:rFonts w:cstheme="minorHAnsi"/>
        </w:rPr>
        <w:t>71</w:t>
      </w:r>
      <w:r>
        <w:rPr>
          <w:rFonts w:cstheme="minorHAnsi"/>
        </w:rPr>
        <w:t xml:space="preserve"> eura</w:t>
      </w:r>
      <w:r w:rsidR="004C6233">
        <w:rPr>
          <w:rFonts w:cstheme="minorHAnsi"/>
        </w:rPr>
        <w:t>,</w:t>
      </w:r>
      <w:r w:rsidR="00D92392">
        <w:rPr>
          <w:rFonts w:cstheme="minorHAnsi"/>
        </w:rPr>
        <w:t xml:space="preserve"> uređenje javnih površina </w:t>
      </w:r>
      <w:r w:rsidR="004C6233">
        <w:rPr>
          <w:rFonts w:cstheme="minorHAnsi"/>
        </w:rPr>
        <w:t>43</w:t>
      </w:r>
      <w:r w:rsidR="00D92392">
        <w:rPr>
          <w:rFonts w:cstheme="minorHAnsi"/>
        </w:rPr>
        <w:t>.</w:t>
      </w:r>
      <w:r w:rsidR="004C6233">
        <w:rPr>
          <w:rFonts w:cstheme="minorHAnsi"/>
        </w:rPr>
        <w:t>875</w:t>
      </w:r>
      <w:r w:rsidR="00D92392">
        <w:rPr>
          <w:rFonts w:cstheme="minorHAnsi"/>
        </w:rPr>
        <w:t>,</w:t>
      </w:r>
      <w:r w:rsidR="004C6233">
        <w:rPr>
          <w:rFonts w:cstheme="minorHAnsi"/>
        </w:rPr>
        <w:t>00</w:t>
      </w:r>
      <w:r w:rsidR="00D92392">
        <w:rPr>
          <w:rFonts w:cstheme="minorHAnsi"/>
        </w:rPr>
        <w:t xml:space="preserve"> eura</w:t>
      </w:r>
      <w:r w:rsidR="004C6233">
        <w:rPr>
          <w:rFonts w:cstheme="minorHAnsi"/>
        </w:rPr>
        <w:t>, uređenje zapuštenog zemljišta 20.637,50 eura i intelektualne usluge 20.010,38 eura</w:t>
      </w:r>
      <w:r>
        <w:rPr>
          <w:rFonts w:cstheme="minorHAnsi"/>
        </w:rPr>
        <w:t xml:space="preserve">.    </w:t>
      </w:r>
    </w:p>
    <w:p w14:paraId="2CD8228B" w14:textId="4C04FF5D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Za održavanje i izgradnju groblja od planiranih </w:t>
      </w:r>
      <w:r w:rsidR="004C6233">
        <w:rPr>
          <w:rFonts w:cstheme="minorHAnsi"/>
        </w:rPr>
        <w:t>33</w:t>
      </w:r>
      <w:r w:rsidR="00D92392">
        <w:rPr>
          <w:rFonts w:cstheme="minorHAnsi"/>
        </w:rPr>
        <w:t>.</w:t>
      </w:r>
      <w:r w:rsidR="004C6233">
        <w:rPr>
          <w:rFonts w:cstheme="minorHAnsi"/>
        </w:rPr>
        <w:t>000</w:t>
      </w:r>
      <w:r w:rsidR="00D92392">
        <w:rPr>
          <w:rFonts w:cstheme="minorHAnsi"/>
        </w:rPr>
        <w:t>,00</w:t>
      </w:r>
      <w:r>
        <w:rPr>
          <w:rFonts w:cstheme="minorHAnsi"/>
        </w:rPr>
        <w:t xml:space="preserve"> eura utrošeno je </w:t>
      </w:r>
      <w:r w:rsidR="004C6233">
        <w:rPr>
          <w:rFonts w:cstheme="minorHAnsi"/>
        </w:rPr>
        <w:t>4</w:t>
      </w:r>
      <w:r w:rsidR="00D92392">
        <w:rPr>
          <w:rFonts w:cstheme="minorHAnsi"/>
        </w:rPr>
        <w:t>.</w:t>
      </w:r>
      <w:r w:rsidR="004C6233">
        <w:rPr>
          <w:rFonts w:cstheme="minorHAnsi"/>
        </w:rPr>
        <w:t>808,35</w:t>
      </w:r>
      <w:r>
        <w:rPr>
          <w:rFonts w:cstheme="minorHAnsi"/>
        </w:rPr>
        <w:t xml:space="preserve"> eura</w:t>
      </w:r>
      <w:r w:rsidR="004C6233">
        <w:rPr>
          <w:rFonts w:cstheme="minorHAnsi"/>
        </w:rPr>
        <w:t xml:space="preserve"> ili 14,57%.</w:t>
      </w:r>
      <w:r>
        <w:rPr>
          <w:rFonts w:cstheme="minorHAnsi"/>
        </w:rPr>
        <w:t xml:space="preserve"> </w:t>
      </w:r>
      <w:r w:rsidR="004C6233">
        <w:rPr>
          <w:rFonts w:cstheme="minorHAnsi"/>
        </w:rPr>
        <w:t xml:space="preserve">Planirana kupnja zemljišta nije realizirana.  </w:t>
      </w:r>
      <w:r>
        <w:rPr>
          <w:rFonts w:cstheme="minorHAnsi"/>
        </w:rPr>
        <w:t xml:space="preserve">   </w:t>
      </w:r>
    </w:p>
    <w:p w14:paraId="7AB1F05B" w14:textId="7EF41C6C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lastRenderedPageBreak/>
        <w:tab/>
        <w:t xml:space="preserve"> Cilj ovog programa je stvaranje infrastrukturnih preduvjeta za daljnji održivi razvoj. Pokazatelji rezultata su: povećanje izgrađenosti</w:t>
      </w:r>
      <w:r w:rsidR="0061045B">
        <w:rPr>
          <w:rFonts w:cstheme="minorHAnsi"/>
        </w:rPr>
        <w:t xml:space="preserve"> i uređenosti </w:t>
      </w:r>
      <w:r>
        <w:rPr>
          <w:rFonts w:cstheme="minorHAnsi"/>
        </w:rPr>
        <w:t>komunalne infrastrukture.</w:t>
      </w:r>
    </w:p>
    <w:p w14:paraId="175EC64D" w14:textId="77777777" w:rsidR="001C4242" w:rsidRDefault="00000000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  </w:t>
      </w:r>
      <w:r>
        <w:rPr>
          <w:rFonts w:cstheme="minorHAnsi"/>
        </w:rPr>
        <w:tab/>
      </w:r>
      <w:r>
        <w:rPr>
          <w:rFonts w:cstheme="minorHAnsi"/>
          <w:b/>
        </w:rPr>
        <w:t>PROGRAM 1003 RAZVOJ I SIGURNOST PROMETA</w:t>
      </w:r>
    </w:p>
    <w:p w14:paraId="29EA3989" w14:textId="41C4B260" w:rsidR="001C4242" w:rsidRDefault="00000000">
      <w:pPr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 xml:space="preserve">Program 1003 planiran je u iznosu od </w:t>
      </w:r>
      <w:r w:rsidR="004600A0">
        <w:rPr>
          <w:rFonts w:cstheme="minorHAnsi"/>
        </w:rPr>
        <w:t>914.000,00</w:t>
      </w:r>
      <w:r>
        <w:rPr>
          <w:rFonts w:cstheme="minorHAnsi"/>
        </w:rPr>
        <w:t xml:space="preserve"> eura</w:t>
      </w:r>
      <w:r w:rsidR="00D754EF">
        <w:rPr>
          <w:rFonts w:cstheme="minorHAnsi"/>
        </w:rPr>
        <w:t xml:space="preserve">, a izvršen u iznosu od </w:t>
      </w:r>
      <w:r w:rsidR="004600A0">
        <w:rPr>
          <w:rFonts w:cstheme="minorHAnsi"/>
        </w:rPr>
        <w:t>742.484,89</w:t>
      </w:r>
      <w:r w:rsidR="00D754EF">
        <w:rPr>
          <w:rFonts w:cstheme="minorHAnsi"/>
        </w:rPr>
        <w:t xml:space="preserve"> eura ili </w:t>
      </w:r>
      <w:r w:rsidR="004600A0">
        <w:rPr>
          <w:rFonts w:cstheme="minorHAnsi"/>
        </w:rPr>
        <w:t>81</w:t>
      </w:r>
      <w:r w:rsidR="00D754EF">
        <w:rPr>
          <w:rFonts w:cstheme="minorHAnsi"/>
        </w:rPr>
        <w:t>,</w:t>
      </w:r>
      <w:r w:rsidR="004600A0">
        <w:rPr>
          <w:rFonts w:cstheme="minorHAnsi"/>
        </w:rPr>
        <w:t>23</w:t>
      </w:r>
      <w:r w:rsidR="00D754EF">
        <w:rPr>
          <w:rFonts w:cstheme="minorHAnsi"/>
        </w:rPr>
        <w:t>%</w:t>
      </w:r>
      <w:r>
        <w:rPr>
          <w:rFonts w:cstheme="minorHAnsi"/>
        </w:rPr>
        <w:t xml:space="preserve">. U sklopu navedenog </w:t>
      </w:r>
      <w:r w:rsidR="0061045B">
        <w:rPr>
          <w:rFonts w:cstheme="minorHAnsi"/>
        </w:rPr>
        <w:t xml:space="preserve">programa izvršeni su </w:t>
      </w:r>
      <w:r w:rsidR="004600A0">
        <w:rPr>
          <w:rFonts w:cstheme="minorHAnsi"/>
        </w:rPr>
        <w:t>rashodi za rekonstrukciju LC 20080 i izgradnju</w:t>
      </w:r>
      <w:r w:rsidR="00177B59">
        <w:rPr>
          <w:rFonts w:cstheme="minorHAnsi"/>
        </w:rPr>
        <w:t xml:space="preserve"> </w:t>
      </w:r>
      <w:r w:rsidR="00306C9D">
        <w:rPr>
          <w:rFonts w:cstheme="minorHAnsi"/>
        </w:rPr>
        <w:t xml:space="preserve">pješačko biciklističke staze </w:t>
      </w:r>
      <w:proofErr w:type="spellStart"/>
      <w:r w:rsidR="00306C9D">
        <w:rPr>
          <w:rFonts w:cstheme="minorHAnsi"/>
        </w:rPr>
        <w:t>Železna</w:t>
      </w:r>
      <w:proofErr w:type="spellEnd"/>
      <w:r w:rsidR="00306C9D">
        <w:rPr>
          <w:rFonts w:cstheme="minorHAnsi"/>
        </w:rPr>
        <w:t xml:space="preserve"> Gora – Toplice Sv. Martin u iznosu od 246.800,00 eura, </w:t>
      </w:r>
      <w:r w:rsidR="0061045B">
        <w:rPr>
          <w:rFonts w:cstheme="minorHAnsi"/>
        </w:rPr>
        <w:t xml:space="preserve">modernizacije nerazvrstanih cesta i to </w:t>
      </w:r>
      <w:r w:rsidR="00113629">
        <w:rPr>
          <w:rFonts w:cstheme="minorHAnsi"/>
        </w:rPr>
        <w:t>izgradnja</w:t>
      </w:r>
      <w:r w:rsidR="00104FAC">
        <w:rPr>
          <w:rFonts w:cstheme="minorHAnsi"/>
        </w:rPr>
        <w:t xml:space="preserve"> </w:t>
      </w:r>
      <w:r w:rsidR="00113629">
        <w:rPr>
          <w:rFonts w:cstheme="minorHAnsi"/>
        </w:rPr>
        <w:t xml:space="preserve">NC 2020- </w:t>
      </w:r>
      <w:proofErr w:type="spellStart"/>
      <w:r w:rsidR="00113629">
        <w:rPr>
          <w:rFonts w:cstheme="minorHAnsi"/>
        </w:rPr>
        <w:t>Slatjak</w:t>
      </w:r>
      <w:proofErr w:type="spellEnd"/>
      <w:r w:rsidR="00113629">
        <w:rPr>
          <w:rFonts w:cstheme="minorHAnsi"/>
        </w:rPr>
        <w:t xml:space="preserve"> 229.338,60 eura, izgradnja NC 2040 – </w:t>
      </w:r>
      <w:proofErr w:type="spellStart"/>
      <w:r w:rsidR="00113629">
        <w:rPr>
          <w:rFonts w:cstheme="minorHAnsi"/>
        </w:rPr>
        <w:t>Arnuš</w:t>
      </w:r>
      <w:proofErr w:type="spellEnd"/>
      <w:r w:rsidR="00113629">
        <w:rPr>
          <w:rFonts w:cstheme="minorHAnsi"/>
        </w:rPr>
        <w:t xml:space="preserve"> 204.113,27, NC 2049 – Prekopa 12.031,25 eura i pogranična cesta s Općinom </w:t>
      </w:r>
      <w:proofErr w:type="spellStart"/>
      <w:r w:rsidR="00113629">
        <w:rPr>
          <w:rFonts w:cstheme="minorHAnsi"/>
        </w:rPr>
        <w:t>Razkrižje</w:t>
      </w:r>
      <w:proofErr w:type="spellEnd"/>
      <w:r w:rsidR="00113629">
        <w:rPr>
          <w:rFonts w:cstheme="minorHAnsi"/>
        </w:rPr>
        <w:t xml:space="preserve"> u iznosu od 30.670,84 </w:t>
      </w:r>
      <w:proofErr w:type="spellStart"/>
      <w:r w:rsidR="007C5229">
        <w:rPr>
          <w:rFonts w:cstheme="minorHAnsi"/>
        </w:rPr>
        <w:t>eur</w:t>
      </w:r>
      <w:proofErr w:type="spellEnd"/>
      <w:r w:rsidR="007C5229">
        <w:rPr>
          <w:rFonts w:cstheme="minorHAnsi"/>
        </w:rPr>
        <w:t>.  U sklopu r</w:t>
      </w:r>
      <w:r w:rsidR="00D754EF">
        <w:rPr>
          <w:rFonts w:cstheme="minorHAnsi"/>
        </w:rPr>
        <w:t>ashod</w:t>
      </w:r>
      <w:r w:rsidR="007C5229">
        <w:rPr>
          <w:rFonts w:cstheme="minorHAnsi"/>
        </w:rPr>
        <w:t>a</w:t>
      </w:r>
      <w:r w:rsidR="00D754EF">
        <w:rPr>
          <w:rFonts w:cstheme="minorHAnsi"/>
        </w:rPr>
        <w:t xml:space="preserve"> za projektiranje</w:t>
      </w:r>
      <w:r w:rsidR="007C5229">
        <w:rPr>
          <w:rFonts w:cstheme="minorHAnsi"/>
        </w:rPr>
        <w:t xml:space="preserve"> cesta utrošeno je 6.036,25 eura (glavni projekt za izgradnju prometnice NC 2040 </w:t>
      </w:r>
      <w:proofErr w:type="spellStart"/>
      <w:r w:rsidR="007C5229">
        <w:rPr>
          <w:rFonts w:cstheme="minorHAnsi"/>
        </w:rPr>
        <w:t>Arnuš</w:t>
      </w:r>
      <w:proofErr w:type="spellEnd"/>
      <w:r w:rsidR="007C5229">
        <w:rPr>
          <w:rFonts w:cstheme="minorHAnsi"/>
        </w:rPr>
        <w:t xml:space="preserve">  4.450,00 eura i idejni </w:t>
      </w:r>
      <w:proofErr w:type="spellStart"/>
      <w:r w:rsidR="007C5229">
        <w:rPr>
          <w:rFonts w:cstheme="minorHAnsi"/>
        </w:rPr>
        <w:t>građ</w:t>
      </w:r>
      <w:proofErr w:type="spellEnd"/>
      <w:r w:rsidR="007C5229">
        <w:rPr>
          <w:rFonts w:cstheme="minorHAnsi"/>
        </w:rPr>
        <w:t>. projekt prometnice za izgradnju pješačke staze uz DC 227 1.586,25 eura).</w:t>
      </w:r>
      <w:r w:rsidR="00D754EF">
        <w:rPr>
          <w:rFonts w:cstheme="minorHAnsi"/>
        </w:rPr>
        <w:t xml:space="preserve"> </w:t>
      </w:r>
      <w:r w:rsidR="007C5229">
        <w:rPr>
          <w:rFonts w:cstheme="minorHAnsi"/>
        </w:rPr>
        <w:t xml:space="preserve">Za geodetski elaborat uknjižbe nerazvrstanih cesta </w:t>
      </w:r>
      <w:r w:rsidR="00111998">
        <w:rPr>
          <w:rFonts w:cstheme="minorHAnsi"/>
        </w:rPr>
        <w:t xml:space="preserve">utrošeno je 5.625,00 eura, dok je za izgradnju  javne rasvjete utrošeno 7.869,68 eura. </w:t>
      </w:r>
      <w:r w:rsidR="00CA0EB5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</w:p>
    <w:p w14:paraId="72A5857E" w14:textId="77777777" w:rsidR="00D754EF" w:rsidRDefault="00D754EF" w:rsidP="00D754EF">
      <w:pPr>
        <w:ind w:firstLine="708"/>
        <w:jc w:val="both"/>
      </w:pPr>
      <w:r w:rsidRPr="00983C57">
        <w:t>Cilj programa je izgradnja komunalne infrastrukture, a pokazatelj rezultata su metri novog asfalta</w:t>
      </w:r>
      <w:r>
        <w:t xml:space="preserve"> i broj svjetiljki javne rasvjete</w:t>
      </w:r>
      <w:r w:rsidRPr="00983C57">
        <w:t>.</w:t>
      </w:r>
    </w:p>
    <w:p w14:paraId="19AE1423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  </w:t>
      </w:r>
      <w:r>
        <w:rPr>
          <w:rFonts w:cstheme="minorHAnsi"/>
        </w:rPr>
        <w:tab/>
      </w:r>
      <w:r>
        <w:rPr>
          <w:rFonts w:cstheme="minorHAnsi"/>
          <w:b/>
          <w:bCs/>
        </w:rPr>
        <w:t>PROGRAM 1005 RAZVOJ I UPRAVLJANJE SUSTAVA VODOOPSKRBE, ODVODNJE I ZAŠTITE VODA</w:t>
      </w:r>
    </w:p>
    <w:p w14:paraId="4647549D" w14:textId="2A752CAC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U okviru navedenog programa je izvršen rashod za produžetak vodovodne mreže u Štrigovi. Od planiranih </w:t>
      </w:r>
      <w:r w:rsidR="00111998">
        <w:rPr>
          <w:rFonts w:cstheme="minorHAnsi"/>
        </w:rPr>
        <w:t>287</w:t>
      </w:r>
      <w:r>
        <w:rPr>
          <w:rFonts w:cstheme="minorHAnsi"/>
        </w:rPr>
        <w:t>.</w:t>
      </w:r>
      <w:r w:rsidR="00111998">
        <w:rPr>
          <w:rFonts w:cstheme="minorHAnsi"/>
        </w:rPr>
        <w:t>357</w:t>
      </w:r>
      <w:r>
        <w:rPr>
          <w:rFonts w:cstheme="minorHAnsi"/>
        </w:rPr>
        <w:t xml:space="preserve">,00 eura utrošeno je </w:t>
      </w:r>
      <w:r w:rsidR="00111998">
        <w:rPr>
          <w:rFonts w:cstheme="minorHAnsi"/>
        </w:rPr>
        <w:t>47</w:t>
      </w:r>
      <w:r w:rsidR="00D754EF">
        <w:rPr>
          <w:rFonts w:cstheme="minorHAnsi"/>
        </w:rPr>
        <w:t>.</w:t>
      </w:r>
      <w:r w:rsidR="00111998">
        <w:rPr>
          <w:rFonts w:cstheme="minorHAnsi"/>
        </w:rPr>
        <w:t>255</w:t>
      </w:r>
      <w:r w:rsidR="00D754EF">
        <w:rPr>
          <w:rFonts w:cstheme="minorHAnsi"/>
        </w:rPr>
        <w:t>,</w:t>
      </w:r>
      <w:r w:rsidR="00111998">
        <w:rPr>
          <w:rFonts w:cstheme="minorHAnsi"/>
        </w:rPr>
        <w:t>11</w:t>
      </w:r>
      <w:r>
        <w:rPr>
          <w:rFonts w:cstheme="minorHAnsi"/>
        </w:rPr>
        <w:t xml:space="preserve"> eura ili </w:t>
      </w:r>
      <w:r w:rsidR="00111998">
        <w:rPr>
          <w:rFonts w:cstheme="minorHAnsi"/>
        </w:rPr>
        <w:t>16</w:t>
      </w:r>
      <w:r w:rsidR="00D754EF">
        <w:rPr>
          <w:rFonts w:cstheme="minorHAnsi"/>
        </w:rPr>
        <w:t>,</w:t>
      </w:r>
      <w:r w:rsidR="00111998">
        <w:rPr>
          <w:rFonts w:cstheme="minorHAnsi"/>
        </w:rPr>
        <w:t>44</w:t>
      </w:r>
      <w:r>
        <w:rPr>
          <w:rFonts w:cstheme="minorHAnsi"/>
        </w:rPr>
        <w:t>% planiranog</w:t>
      </w:r>
      <w:r w:rsidR="00111998">
        <w:rPr>
          <w:rFonts w:cstheme="minorHAnsi"/>
        </w:rPr>
        <w:t xml:space="preserve"> i to za produžetak vodovodne mreže</w:t>
      </w:r>
      <w:r>
        <w:rPr>
          <w:rFonts w:cstheme="minorHAnsi"/>
        </w:rPr>
        <w:t>.</w:t>
      </w:r>
      <w:r w:rsidR="00111998">
        <w:rPr>
          <w:rFonts w:cstheme="minorHAnsi"/>
        </w:rPr>
        <w:t xml:space="preserve"> </w:t>
      </w:r>
      <w:r w:rsidR="005A30DA">
        <w:rPr>
          <w:rFonts w:cstheme="minorHAnsi"/>
        </w:rPr>
        <w:t xml:space="preserve">Za izgradnju kanalizacije i uređaja za pročišćavanje otpadnih voda Štrigova nije bilo rashoda. </w:t>
      </w:r>
      <w:r w:rsidR="00111998">
        <w:rPr>
          <w:rFonts w:cstheme="minorHAnsi"/>
        </w:rPr>
        <w:t xml:space="preserve"> </w:t>
      </w:r>
    </w:p>
    <w:p w14:paraId="3985D2F8" w14:textId="77777777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Cilj programa je omogućiti mještanima opskrbu pitkom vodom izgradnjom vodovodne mreže. Pokazatelji rezultata su: povećanje izgrađenosti vodovodne mreže. </w:t>
      </w:r>
    </w:p>
    <w:p w14:paraId="5DFB35F4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>PROGRAM 1006 PROMICANJE KULTURE</w:t>
      </w:r>
      <w:r>
        <w:rPr>
          <w:rFonts w:cstheme="minorHAnsi"/>
        </w:rPr>
        <w:t xml:space="preserve"> </w:t>
      </w:r>
    </w:p>
    <w:p w14:paraId="0951C4E2" w14:textId="37CBF32B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U sklopu navedenog izvršen je rashod za djelovanje udruga u iznosu od </w:t>
      </w:r>
      <w:r w:rsidR="005A30DA">
        <w:rPr>
          <w:rFonts w:cstheme="minorHAnsi"/>
        </w:rPr>
        <w:t>11.400,00</w:t>
      </w:r>
      <w:r>
        <w:rPr>
          <w:rFonts w:cstheme="minorHAnsi"/>
        </w:rPr>
        <w:t xml:space="preserve"> eura, za </w:t>
      </w:r>
      <w:r w:rsidR="00BB5C9C">
        <w:rPr>
          <w:rFonts w:cstheme="minorHAnsi"/>
        </w:rPr>
        <w:t>donacije vjerskom zajednicama</w:t>
      </w:r>
      <w:r w:rsidR="005A30DA">
        <w:rPr>
          <w:rFonts w:cstheme="minorHAnsi"/>
        </w:rPr>
        <w:t xml:space="preserve"> je utrošeno</w:t>
      </w:r>
      <w:r w:rsidR="00BB5C9C">
        <w:rPr>
          <w:rFonts w:cstheme="minorHAnsi"/>
        </w:rPr>
        <w:t xml:space="preserve"> 4.</w:t>
      </w:r>
      <w:r w:rsidR="005A30DA">
        <w:rPr>
          <w:rFonts w:cstheme="minorHAnsi"/>
        </w:rPr>
        <w:t>600</w:t>
      </w:r>
      <w:r w:rsidR="00BB5C9C">
        <w:rPr>
          <w:rFonts w:cstheme="minorHAnsi"/>
        </w:rPr>
        <w:t>,00 eura,</w:t>
      </w:r>
      <w:r>
        <w:rPr>
          <w:rFonts w:cstheme="minorHAnsi"/>
        </w:rPr>
        <w:t xml:space="preserve"> za Festival keramike </w:t>
      </w:r>
      <w:r w:rsidR="005A30DA">
        <w:rPr>
          <w:rFonts w:cstheme="minorHAnsi"/>
        </w:rPr>
        <w:t>3</w:t>
      </w:r>
      <w:r>
        <w:rPr>
          <w:rFonts w:cstheme="minorHAnsi"/>
        </w:rPr>
        <w:t>.</w:t>
      </w:r>
      <w:r w:rsidR="005A30DA">
        <w:rPr>
          <w:rFonts w:cstheme="minorHAnsi"/>
        </w:rPr>
        <w:t>554,99</w:t>
      </w:r>
      <w:r>
        <w:rPr>
          <w:rFonts w:cstheme="minorHAnsi"/>
        </w:rPr>
        <w:t xml:space="preserve"> eura</w:t>
      </w:r>
      <w:r w:rsidR="005A30DA">
        <w:rPr>
          <w:rFonts w:cstheme="minorHAnsi"/>
        </w:rPr>
        <w:t>, za Umjetničku koloniju 6.000,00 eura</w:t>
      </w:r>
      <w:r w:rsidR="00BB5C9C">
        <w:rPr>
          <w:rFonts w:cstheme="minorHAnsi"/>
        </w:rPr>
        <w:t xml:space="preserve"> i Rječnik štrigovskog govora 1.</w:t>
      </w:r>
      <w:r w:rsidR="005A30DA">
        <w:rPr>
          <w:rFonts w:cstheme="minorHAnsi"/>
        </w:rPr>
        <w:t>899,57</w:t>
      </w:r>
      <w:r w:rsidR="00BB5C9C">
        <w:rPr>
          <w:rFonts w:cstheme="minorHAnsi"/>
        </w:rPr>
        <w:t xml:space="preserve"> eura</w:t>
      </w:r>
      <w:r>
        <w:rPr>
          <w:rFonts w:cstheme="minorHAnsi"/>
        </w:rPr>
        <w:t xml:space="preserve">. Program je </w:t>
      </w:r>
      <w:r w:rsidR="003E655A">
        <w:rPr>
          <w:rFonts w:cstheme="minorHAnsi"/>
        </w:rPr>
        <w:t>planiran</w:t>
      </w:r>
      <w:r>
        <w:rPr>
          <w:rFonts w:cstheme="minorHAnsi"/>
        </w:rPr>
        <w:t xml:space="preserve"> u iznosu od </w:t>
      </w:r>
      <w:r w:rsidR="005A30DA">
        <w:rPr>
          <w:rFonts w:cstheme="minorHAnsi"/>
        </w:rPr>
        <w:t>32.400,00</w:t>
      </w:r>
      <w:r>
        <w:rPr>
          <w:rFonts w:cstheme="minorHAnsi"/>
        </w:rPr>
        <w:t xml:space="preserve"> eura,</w:t>
      </w:r>
      <w:r w:rsidR="003E655A">
        <w:rPr>
          <w:rFonts w:cstheme="minorHAnsi"/>
        </w:rPr>
        <w:t xml:space="preserve"> a </w:t>
      </w:r>
      <w:proofErr w:type="spellStart"/>
      <w:r w:rsidR="003E655A">
        <w:rPr>
          <w:rFonts w:cstheme="minorHAnsi"/>
        </w:rPr>
        <w:t>ostaren</w:t>
      </w:r>
      <w:proofErr w:type="spellEnd"/>
      <w:r w:rsidR="003E655A">
        <w:rPr>
          <w:rFonts w:cstheme="minorHAnsi"/>
        </w:rPr>
        <w:t xml:space="preserve"> u iznosu od 28.436,44 eura</w:t>
      </w:r>
      <w:r>
        <w:rPr>
          <w:rFonts w:cstheme="minorHAnsi"/>
        </w:rPr>
        <w:t xml:space="preserve"> tj. na razini od </w:t>
      </w:r>
      <w:r w:rsidR="003E655A">
        <w:rPr>
          <w:rFonts w:cstheme="minorHAnsi"/>
        </w:rPr>
        <w:t>87</w:t>
      </w:r>
      <w:r>
        <w:rPr>
          <w:rFonts w:cstheme="minorHAnsi"/>
        </w:rPr>
        <w:t>,</w:t>
      </w:r>
      <w:r w:rsidR="003E655A">
        <w:rPr>
          <w:rFonts w:cstheme="minorHAnsi"/>
        </w:rPr>
        <w:t>77</w:t>
      </w:r>
      <w:r>
        <w:rPr>
          <w:rFonts w:cstheme="minorHAnsi"/>
        </w:rPr>
        <w:t xml:space="preserve">%.          </w:t>
      </w:r>
    </w:p>
    <w:p w14:paraId="20FAD384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Cilj programa je poticanje razvoja kulture, očuvanje kulturne baštine na području Općine i šire. Pokazatelj rezultata je sve veći broj kulturnih manifestacija. </w:t>
      </w:r>
    </w:p>
    <w:p w14:paraId="51913862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  <w:b/>
          <w:bCs/>
        </w:rPr>
        <w:t>PROGRAM 1007 RAZVOJ SPORTA I REKREACIJE</w:t>
      </w:r>
    </w:p>
    <w:p w14:paraId="4B2CE1BD" w14:textId="68F8784D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>U okviru navedenog programa planirana su sredstva u iznosu od 3</w:t>
      </w:r>
      <w:r w:rsidR="003E655A">
        <w:rPr>
          <w:rFonts w:cstheme="minorHAnsi"/>
        </w:rPr>
        <w:t>4</w:t>
      </w:r>
      <w:r>
        <w:rPr>
          <w:rFonts w:cstheme="minorHAnsi"/>
        </w:rPr>
        <w:t xml:space="preserve">.000,00 eura, a utrošena  u iznosu od </w:t>
      </w:r>
      <w:r w:rsidR="003E655A">
        <w:rPr>
          <w:rFonts w:cstheme="minorHAnsi"/>
        </w:rPr>
        <w:t>2</w:t>
      </w:r>
      <w:r>
        <w:rPr>
          <w:rFonts w:cstheme="minorHAnsi"/>
        </w:rPr>
        <w:t>4</w:t>
      </w:r>
      <w:r w:rsidR="003E655A">
        <w:rPr>
          <w:rFonts w:cstheme="minorHAnsi"/>
        </w:rPr>
        <w:t>.600</w:t>
      </w:r>
      <w:r>
        <w:rPr>
          <w:rFonts w:cstheme="minorHAnsi"/>
        </w:rPr>
        <w:t xml:space="preserve">,00 </w:t>
      </w:r>
      <w:r w:rsidR="003E655A">
        <w:rPr>
          <w:rFonts w:cstheme="minorHAnsi"/>
        </w:rPr>
        <w:t>eura</w:t>
      </w:r>
      <w:r>
        <w:rPr>
          <w:rFonts w:cstheme="minorHAnsi"/>
        </w:rPr>
        <w:t xml:space="preserve">, tj. na razini od </w:t>
      </w:r>
      <w:r w:rsidR="003E655A">
        <w:rPr>
          <w:rFonts w:cstheme="minorHAnsi"/>
        </w:rPr>
        <w:t>72</w:t>
      </w:r>
      <w:r>
        <w:rPr>
          <w:rFonts w:cstheme="minorHAnsi"/>
        </w:rPr>
        <w:t>,</w:t>
      </w:r>
      <w:r w:rsidR="003E655A">
        <w:rPr>
          <w:rFonts w:cstheme="minorHAnsi"/>
        </w:rPr>
        <w:t>35</w:t>
      </w:r>
      <w:r>
        <w:rPr>
          <w:rFonts w:cstheme="minorHAnsi"/>
        </w:rPr>
        <w:t>%. Izvršene su isplate slijedećim klubovima: NK Plavi Prekopa 2.</w:t>
      </w:r>
      <w:r w:rsidR="003E655A">
        <w:rPr>
          <w:rFonts w:cstheme="minorHAnsi"/>
        </w:rPr>
        <w:t>5</w:t>
      </w:r>
      <w:r>
        <w:rPr>
          <w:rFonts w:cstheme="minorHAnsi"/>
        </w:rPr>
        <w:t>00,00 eura,</w:t>
      </w:r>
      <w:r w:rsidR="003E655A">
        <w:rPr>
          <w:rFonts w:cstheme="minorHAnsi"/>
        </w:rPr>
        <w:t xml:space="preserve"> Odbojkaški klub Štrigova 5.400,00 eura, </w:t>
      </w:r>
      <w:r>
        <w:rPr>
          <w:rFonts w:cstheme="minorHAnsi"/>
        </w:rPr>
        <w:t xml:space="preserve"> Atletski klub Međimurje Čakovec </w:t>
      </w:r>
      <w:r w:rsidR="003E655A">
        <w:rPr>
          <w:rFonts w:cstheme="minorHAnsi"/>
        </w:rPr>
        <w:t>5</w:t>
      </w:r>
      <w:r>
        <w:rPr>
          <w:rFonts w:cstheme="minorHAnsi"/>
        </w:rPr>
        <w:t>00,00 eura</w:t>
      </w:r>
      <w:r w:rsidR="003E655A">
        <w:rPr>
          <w:rFonts w:cstheme="minorHAnsi"/>
        </w:rPr>
        <w:t xml:space="preserve">, Auto klub </w:t>
      </w:r>
      <w:proofErr w:type="spellStart"/>
      <w:r w:rsidR="003E655A">
        <w:rPr>
          <w:rFonts w:cstheme="minorHAnsi"/>
        </w:rPr>
        <w:t>Blacklisted</w:t>
      </w:r>
      <w:proofErr w:type="spellEnd"/>
      <w:r w:rsidR="003E655A">
        <w:rPr>
          <w:rFonts w:cstheme="minorHAnsi"/>
        </w:rPr>
        <w:t xml:space="preserve"> 1.500,00 eura,</w:t>
      </w:r>
      <w:r>
        <w:rPr>
          <w:rFonts w:cstheme="minorHAnsi"/>
        </w:rPr>
        <w:t xml:space="preserve"> NK Sloga Štrigova 1</w:t>
      </w:r>
      <w:r w:rsidR="003E655A">
        <w:rPr>
          <w:rFonts w:cstheme="minorHAnsi"/>
        </w:rPr>
        <w:t>2</w:t>
      </w:r>
      <w:r>
        <w:rPr>
          <w:rFonts w:cstheme="minorHAnsi"/>
        </w:rPr>
        <w:t>.</w:t>
      </w:r>
      <w:r w:rsidR="003E655A">
        <w:rPr>
          <w:rFonts w:cstheme="minorHAnsi"/>
        </w:rPr>
        <w:t>0</w:t>
      </w:r>
      <w:r>
        <w:rPr>
          <w:rFonts w:cstheme="minorHAnsi"/>
        </w:rPr>
        <w:t>00,00 eura</w:t>
      </w:r>
      <w:r w:rsidR="003E655A">
        <w:rPr>
          <w:rFonts w:cstheme="minorHAnsi"/>
        </w:rPr>
        <w:t xml:space="preserve"> i Karate klub Štrigova 2.700,00 eura</w:t>
      </w:r>
      <w:r>
        <w:rPr>
          <w:rFonts w:cstheme="minorHAnsi"/>
        </w:rPr>
        <w:t xml:space="preserve">.   </w:t>
      </w:r>
    </w:p>
    <w:p w14:paraId="13DCFD35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Cilj programa je poticanje uključivanja sve većeg broja mještana u sportske udruge radi povećanja fizičke aktivnosti, a to se posebno odnosi na djecu i mlade. Pokazatelj rezultata je veći broj mještana uključenih u rad klubova na području Općine.  </w:t>
      </w:r>
    </w:p>
    <w:p w14:paraId="1FEAA329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</w:rPr>
        <w:lastRenderedPageBreak/>
        <w:tab/>
      </w:r>
      <w:r>
        <w:rPr>
          <w:rFonts w:cstheme="minorHAnsi"/>
          <w:b/>
          <w:bCs/>
        </w:rPr>
        <w:t>PROGRAM 1008 RAZVOJ CIVILNOG DRUŠTVA</w:t>
      </w:r>
    </w:p>
    <w:p w14:paraId="07822B9F" w14:textId="08EE2E88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Za financiranje navedenog programa u izvještajnom razdoblju je od planiranih </w:t>
      </w:r>
      <w:r w:rsidR="003E655A">
        <w:rPr>
          <w:rFonts w:cstheme="minorHAnsi"/>
        </w:rPr>
        <w:t>30</w:t>
      </w:r>
      <w:r>
        <w:rPr>
          <w:rFonts w:cstheme="minorHAnsi"/>
        </w:rPr>
        <w:t>.</w:t>
      </w:r>
      <w:r w:rsidR="003E655A">
        <w:rPr>
          <w:rFonts w:cstheme="minorHAnsi"/>
        </w:rPr>
        <w:t>000</w:t>
      </w:r>
      <w:r>
        <w:rPr>
          <w:rFonts w:cstheme="minorHAnsi"/>
        </w:rPr>
        <w:t xml:space="preserve">,00 eura utrošeno </w:t>
      </w:r>
      <w:r w:rsidR="003E655A">
        <w:rPr>
          <w:rFonts w:cstheme="minorHAnsi"/>
        </w:rPr>
        <w:t>29.250,00</w:t>
      </w:r>
      <w:r>
        <w:rPr>
          <w:rFonts w:cstheme="minorHAnsi"/>
        </w:rPr>
        <w:t xml:space="preserve"> eura ili </w:t>
      </w:r>
      <w:r w:rsidR="003E655A">
        <w:rPr>
          <w:rFonts w:cstheme="minorHAnsi"/>
        </w:rPr>
        <w:t>97</w:t>
      </w:r>
      <w:r>
        <w:rPr>
          <w:rFonts w:cstheme="minorHAnsi"/>
        </w:rPr>
        <w:t>,</w:t>
      </w:r>
      <w:r w:rsidR="003E655A">
        <w:rPr>
          <w:rFonts w:cstheme="minorHAnsi"/>
        </w:rPr>
        <w:t>50</w:t>
      </w:r>
      <w:r>
        <w:rPr>
          <w:rFonts w:cstheme="minorHAnsi"/>
        </w:rPr>
        <w:t xml:space="preserve">%. Financijska sredstva dodijeljena su </w:t>
      </w:r>
      <w:r w:rsidR="00C94300">
        <w:rPr>
          <w:rFonts w:cstheme="minorHAnsi"/>
        </w:rPr>
        <w:t>temeljem Odluke o odobravanju financijskih sredstava za financiranje programa, projekata i javnih potreba sredstvima proračuna Općine Štrigova za 202</w:t>
      </w:r>
      <w:r w:rsidR="003E655A">
        <w:rPr>
          <w:rFonts w:cstheme="minorHAnsi"/>
        </w:rPr>
        <w:t>4</w:t>
      </w:r>
      <w:r w:rsidR="00C94300">
        <w:rPr>
          <w:rFonts w:cstheme="minorHAnsi"/>
        </w:rPr>
        <w:t xml:space="preserve">. godinu. </w:t>
      </w:r>
    </w:p>
    <w:p w14:paraId="27D0306E" w14:textId="77777777" w:rsidR="001C4242" w:rsidRDefault="00000000" w:rsidP="001F4F37">
      <w:pPr>
        <w:ind w:firstLine="708"/>
        <w:jc w:val="both"/>
        <w:rPr>
          <w:rFonts w:cstheme="minorHAnsi"/>
        </w:rPr>
      </w:pPr>
      <w:r>
        <w:rPr>
          <w:rFonts w:cstheme="minorHAnsi"/>
        </w:rPr>
        <w:t>Cilj programa je poticanje razvoja civilnog društva, a pokazatelj rezultata sve veći broj udruga i njihovih manifestacija.</w:t>
      </w:r>
    </w:p>
    <w:p w14:paraId="78DEB23E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  <w:b/>
          <w:bCs/>
        </w:rPr>
        <w:t>PROGRAM 1009 POTICANJE RAZVOJA TURIZMA</w:t>
      </w:r>
    </w:p>
    <w:p w14:paraId="1268DCE7" w14:textId="692DF7DD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Program 1009 Poticanje razvoja turizma planiran je u iznosu od </w:t>
      </w:r>
      <w:r w:rsidR="0071382E">
        <w:rPr>
          <w:rFonts w:cstheme="minorHAnsi"/>
        </w:rPr>
        <w:t>207</w:t>
      </w:r>
      <w:r w:rsidR="00C94300">
        <w:rPr>
          <w:rFonts w:cstheme="minorHAnsi"/>
        </w:rPr>
        <w:t>.</w:t>
      </w:r>
      <w:r w:rsidR="0071382E">
        <w:rPr>
          <w:rFonts w:cstheme="minorHAnsi"/>
        </w:rPr>
        <w:t>125</w:t>
      </w:r>
      <w:r w:rsidR="00C94300">
        <w:rPr>
          <w:rFonts w:cstheme="minorHAnsi"/>
        </w:rPr>
        <w:t>,00</w:t>
      </w:r>
      <w:r>
        <w:rPr>
          <w:rFonts w:cstheme="minorHAnsi"/>
        </w:rPr>
        <w:t xml:space="preserve"> eura, a izvršen u iznosu od </w:t>
      </w:r>
      <w:r w:rsidR="0071382E">
        <w:rPr>
          <w:rFonts w:cstheme="minorHAnsi"/>
        </w:rPr>
        <w:t>86</w:t>
      </w:r>
      <w:r w:rsidR="00C94300">
        <w:rPr>
          <w:rFonts w:cstheme="minorHAnsi"/>
        </w:rPr>
        <w:t>.</w:t>
      </w:r>
      <w:r w:rsidR="0071382E">
        <w:rPr>
          <w:rFonts w:cstheme="minorHAnsi"/>
        </w:rPr>
        <w:t>060</w:t>
      </w:r>
      <w:r w:rsidR="00C94300">
        <w:rPr>
          <w:rFonts w:cstheme="minorHAnsi"/>
        </w:rPr>
        <w:t>,</w:t>
      </w:r>
      <w:r w:rsidR="0071382E">
        <w:rPr>
          <w:rFonts w:cstheme="minorHAnsi"/>
        </w:rPr>
        <w:t>00</w:t>
      </w:r>
      <w:r>
        <w:rPr>
          <w:rFonts w:cstheme="minorHAnsi"/>
        </w:rPr>
        <w:t xml:space="preserve"> eura ili na razini od </w:t>
      </w:r>
      <w:r w:rsidR="0071382E">
        <w:rPr>
          <w:rFonts w:cstheme="minorHAnsi"/>
        </w:rPr>
        <w:t>41</w:t>
      </w:r>
      <w:r w:rsidR="00C94300">
        <w:rPr>
          <w:rFonts w:cstheme="minorHAnsi"/>
        </w:rPr>
        <w:t>,</w:t>
      </w:r>
      <w:r w:rsidR="0071382E">
        <w:rPr>
          <w:rFonts w:cstheme="minorHAnsi"/>
        </w:rPr>
        <w:t>55</w:t>
      </w:r>
      <w:r>
        <w:rPr>
          <w:rFonts w:cstheme="minorHAnsi"/>
        </w:rPr>
        <w:t xml:space="preserve">%. Turističkoj zajednici Općine Štrigova doznačen je iznos od </w:t>
      </w:r>
      <w:r w:rsidR="0071382E">
        <w:rPr>
          <w:rFonts w:cstheme="minorHAnsi"/>
        </w:rPr>
        <w:t>45</w:t>
      </w:r>
      <w:r>
        <w:rPr>
          <w:rFonts w:cstheme="minorHAnsi"/>
        </w:rPr>
        <w:t xml:space="preserve">.000,00 eura, za organizaciju Međunarodnog ocjenjivanje vina i  </w:t>
      </w:r>
      <w:proofErr w:type="spellStart"/>
      <w:r>
        <w:rPr>
          <w:rFonts w:cstheme="minorHAnsi"/>
        </w:rPr>
        <w:t>Urbanovo</w:t>
      </w:r>
      <w:proofErr w:type="spellEnd"/>
      <w:r>
        <w:rPr>
          <w:rFonts w:cstheme="minorHAnsi"/>
        </w:rPr>
        <w:t xml:space="preserve"> utrošeno je </w:t>
      </w:r>
      <w:r w:rsidR="0071382E">
        <w:rPr>
          <w:rFonts w:cstheme="minorHAnsi"/>
        </w:rPr>
        <w:t>9</w:t>
      </w:r>
      <w:r>
        <w:rPr>
          <w:rFonts w:cstheme="minorHAnsi"/>
        </w:rPr>
        <w:t>.</w:t>
      </w:r>
      <w:r w:rsidR="0071382E">
        <w:rPr>
          <w:rFonts w:cstheme="minorHAnsi"/>
        </w:rPr>
        <w:t>000</w:t>
      </w:r>
      <w:r>
        <w:rPr>
          <w:rFonts w:cstheme="minorHAnsi"/>
        </w:rPr>
        <w:t>,</w:t>
      </w:r>
      <w:r w:rsidR="0071382E">
        <w:rPr>
          <w:rFonts w:cstheme="minorHAnsi"/>
        </w:rPr>
        <w:t>00</w:t>
      </w:r>
      <w:r>
        <w:rPr>
          <w:rFonts w:cstheme="minorHAnsi"/>
        </w:rPr>
        <w:t xml:space="preserve"> eura, </w:t>
      </w:r>
      <w:r w:rsidR="00C94300">
        <w:rPr>
          <w:rFonts w:cstheme="minorHAnsi"/>
        </w:rPr>
        <w:t xml:space="preserve">za manifestaciju Martinje na međimurskoj vinskoj cesti </w:t>
      </w:r>
      <w:r w:rsidR="0071382E">
        <w:rPr>
          <w:rFonts w:cstheme="minorHAnsi"/>
        </w:rPr>
        <w:t>1.935,00</w:t>
      </w:r>
      <w:r w:rsidR="00C94300">
        <w:rPr>
          <w:rFonts w:cstheme="minorHAnsi"/>
        </w:rPr>
        <w:t xml:space="preserve"> eura,</w:t>
      </w:r>
      <w:r w:rsidR="0071382E">
        <w:rPr>
          <w:rFonts w:cstheme="minorHAnsi"/>
        </w:rPr>
        <w:t xml:space="preserve"> za sufinanciranje turističkih projekata 27.000,00 eura</w:t>
      </w:r>
      <w:r>
        <w:rPr>
          <w:rFonts w:cstheme="minorHAnsi"/>
        </w:rPr>
        <w:t xml:space="preserve"> te za „Goričko sviralo“ </w:t>
      </w:r>
      <w:r w:rsidR="0071382E">
        <w:rPr>
          <w:rFonts w:cstheme="minorHAnsi"/>
        </w:rPr>
        <w:t>3.125,00</w:t>
      </w:r>
      <w:r>
        <w:rPr>
          <w:rFonts w:cstheme="minorHAnsi"/>
        </w:rPr>
        <w:t xml:space="preserve"> eura.  </w:t>
      </w:r>
    </w:p>
    <w:p w14:paraId="5BEF3E71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>
        <w:rPr>
          <w:rFonts w:cstheme="minorHAnsi"/>
        </w:rPr>
        <w:tab/>
        <w:t xml:space="preserve">Cilj programa je poticanje razvoja turizma kao značajne gospodarske grane na području općine Štrigova. Pokazatelj rezultata je sve veći broj posjetitelja na dnevnoj bazi i posjetitelja za vrijeme održavanja važnih manifestacija u općini Štrigova. </w:t>
      </w:r>
    </w:p>
    <w:p w14:paraId="043B5B8F" w14:textId="72B9B672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  <w:b/>
          <w:bCs/>
        </w:rPr>
        <w:t>PROGRAM 1010 ORGANIZIRANJE I PROVOĐENJE ZAŠTITE I SPAŠAVANJA</w:t>
      </w:r>
    </w:p>
    <w:p w14:paraId="74341CA4" w14:textId="13D2CD03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>Od planiranih 3</w:t>
      </w:r>
      <w:r w:rsidR="0027486A">
        <w:rPr>
          <w:rFonts w:cstheme="minorHAnsi"/>
        </w:rPr>
        <w:t>8</w:t>
      </w:r>
      <w:r>
        <w:rPr>
          <w:rFonts w:cstheme="minorHAnsi"/>
        </w:rPr>
        <w:t>.</w:t>
      </w:r>
      <w:r w:rsidR="0027486A">
        <w:rPr>
          <w:rFonts w:cstheme="minorHAnsi"/>
        </w:rPr>
        <w:t>530</w:t>
      </w:r>
      <w:r>
        <w:rPr>
          <w:rFonts w:cstheme="minorHAnsi"/>
        </w:rPr>
        <w:t xml:space="preserve">,00 eura utrošeno je </w:t>
      </w:r>
      <w:r w:rsidR="00B374BF">
        <w:rPr>
          <w:rFonts w:cstheme="minorHAnsi"/>
        </w:rPr>
        <w:t>3</w:t>
      </w:r>
      <w:r w:rsidR="0027486A">
        <w:rPr>
          <w:rFonts w:cstheme="minorHAnsi"/>
        </w:rPr>
        <w:t>3</w:t>
      </w:r>
      <w:r>
        <w:rPr>
          <w:rFonts w:cstheme="minorHAnsi"/>
        </w:rPr>
        <w:t>.</w:t>
      </w:r>
      <w:r w:rsidR="0027486A">
        <w:rPr>
          <w:rFonts w:cstheme="minorHAnsi"/>
        </w:rPr>
        <w:t>269</w:t>
      </w:r>
      <w:r>
        <w:rPr>
          <w:rFonts w:cstheme="minorHAnsi"/>
        </w:rPr>
        <w:t>,</w:t>
      </w:r>
      <w:r w:rsidR="0027486A">
        <w:rPr>
          <w:rFonts w:cstheme="minorHAnsi"/>
        </w:rPr>
        <w:t>88</w:t>
      </w:r>
      <w:r>
        <w:rPr>
          <w:rFonts w:cstheme="minorHAnsi"/>
        </w:rPr>
        <w:t xml:space="preserve"> eura ili 8</w:t>
      </w:r>
      <w:r w:rsidR="0027486A">
        <w:rPr>
          <w:rFonts w:cstheme="minorHAnsi"/>
        </w:rPr>
        <w:t>6</w:t>
      </w:r>
      <w:r>
        <w:rPr>
          <w:rFonts w:cstheme="minorHAnsi"/>
        </w:rPr>
        <w:t>,</w:t>
      </w:r>
      <w:r w:rsidR="0027486A">
        <w:rPr>
          <w:rFonts w:cstheme="minorHAnsi"/>
        </w:rPr>
        <w:t>35</w:t>
      </w:r>
      <w:r>
        <w:rPr>
          <w:rFonts w:cstheme="minorHAnsi"/>
        </w:rPr>
        <w:t xml:space="preserve">%. Sredstva za financiranje zaštite od požara </w:t>
      </w:r>
      <w:r w:rsidR="00B374BF">
        <w:rPr>
          <w:rFonts w:cstheme="minorHAnsi"/>
        </w:rPr>
        <w:t xml:space="preserve">utrošena su za slijedeće: JVP Grada Čakovca uplata prema sporazumu 2.828,40 eura, </w:t>
      </w:r>
      <w:r>
        <w:rPr>
          <w:rFonts w:cstheme="minorHAnsi"/>
        </w:rPr>
        <w:t xml:space="preserve">DVD </w:t>
      </w:r>
      <w:r w:rsidR="00B374BF">
        <w:rPr>
          <w:rFonts w:cstheme="minorHAnsi"/>
        </w:rPr>
        <w:t>Štrigova</w:t>
      </w:r>
      <w:r>
        <w:rPr>
          <w:rFonts w:cstheme="minorHAnsi"/>
        </w:rPr>
        <w:t xml:space="preserve"> </w:t>
      </w:r>
      <w:r w:rsidR="00B374BF">
        <w:rPr>
          <w:rFonts w:cstheme="minorHAnsi"/>
        </w:rPr>
        <w:t>13</w:t>
      </w:r>
      <w:r>
        <w:rPr>
          <w:rFonts w:cstheme="minorHAnsi"/>
        </w:rPr>
        <w:t>.000,00 eura</w:t>
      </w:r>
      <w:r w:rsidR="00B374BF">
        <w:rPr>
          <w:rFonts w:cstheme="minorHAnsi"/>
        </w:rPr>
        <w:t xml:space="preserve">, DVD </w:t>
      </w:r>
      <w:proofErr w:type="spellStart"/>
      <w:r w:rsidR="00B374BF">
        <w:rPr>
          <w:rFonts w:cstheme="minorHAnsi"/>
        </w:rPr>
        <w:t>Robadje</w:t>
      </w:r>
      <w:proofErr w:type="spellEnd"/>
      <w:r w:rsidR="00B374BF">
        <w:rPr>
          <w:rFonts w:cstheme="minorHAnsi"/>
        </w:rPr>
        <w:t xml:space="preserve"> 4.000,00 eura, DVD </w:t>
      </w:r>
      <w:proofErr w:type="spellStart"/>
      <w:r w:rsidR="00B374BF">
        <w:rPr>
          <w:rFonts w:cstheme="minorHAnsi"/>
        </w:rPr>
        <w:t>Stanetinec</w:t>
      </w:r>
      <w:proofErr w:type="spellEnd"/>
      <w:r w:rsidR="00B374BF">
        <w:rPr>
          <w:rFonts w:cstheme="minorHAnsi"/>
        </w:rPr>
        <w:t xml:space="preserve"> 4.000,00 eura, DVD </w:t>
      </w:r>
      <w:proofErr w:type="spellStart"/>
      <w:r w:rsidR="005F74BC">
        <w:rPr>
          <w:rFonts w:cstheme="minorHAnsi"/>
        </w:rPr>
        <w:t>Železna</w:t>
      </w:r>
      <w:proofErr w:type="spellEnd"/>
      <w:r w:rsidR="005F74BC">
        <w:rPr>
          <w:rFonts w:cstheme="minorHAnsi"/>
        </w:rPr>
        <w:t xml:space="preserve"> Gora 4.000,00 eura</w:t>
      </w:r>
      <w:r w:rsidR="00B374BF">
        <w:rPr>
          <w:rFonts w:cstheme="minorHAnsi"/>
        </w:rPr>
        <w:t xml:space="preserve">  </w:t>
      </w:r>
      <w:r>
        <w:rPr>
          <w:rFonts w:cstheme="minorHAnsi"/>
        </w:rPr>
        <w:t xml:space="preserve"> i   uplat</w:t>
      </w:r>
      <w:r w:rsidR="005F74BC">
        <w:rPr>
          <w:rFonts w:cstheme="minorHAnsi"/>
        </w:rPr>
        <w:t>a</w:t>
      </w:r>
      <w:r>
        <w:rPr>
          <w:rFonts w:cstheme="minorHAnsi"/>
        </w:rPr>
        <w:t xml:space="preserve"> Vatrogasnoj zajednici MŽ </w:t>
      </w:r>
      <w:r w:rsidR="005F74BC">
        <w:rPr>
          <w:rFonts w:cstheme="minorHAnsi"/>
        </w:rPr>
        <w:t>89</w:t>
      </w:r>
      <w:r w:rsidR="0027486A">
        <w:rPr>
          <w:rFonts w:cstheme="minorHAnsi"/>
        </w:rPr>
        <w:t>1</w:t>
      </w:r>
      <w:r>
        <w:rPr>
          <w:rFonts w:cstheme="minorHAnsi"/>
        </w:rPr>
        <w:t>,</w:t>
      </w:r>
      <w:r w:rsidR="0027486A">
        <w:rPr>
          <w:rFonts w:cstheme="minorHAnsi"/>
        </w:rPr>
        <w:t>48</w:t>
      </w:r>
      <w:r>
        <w:rPr>
          <w:rFonts w:cstheme="minorHAnsi"/>
        </w:rPr>
        <w:t xml:space="preserve"> eura. Za civilnu zaštitu je utrošeno </w:t>
      </w:r>
      <w:r w:rsidR="0027486A">
        <w:rPr>
          <w:rFonts w:cstheme="minorHAnsi"/>
        </w:rPr>
        <w:t>4</w:t>
      </w:r>
      <w:r w:rsidR="005F74BC">
        <w:rPr>
          <w:rFonts w:cstheme="minorHAnsi"/>
        </w:rPr>
        <w:t>.</w:t>
      </w:r>
      <w:r w:rsidR="0027486A">
        <w:rPr>
          <w:rFonts w:cstheme="minorHAnsi"/>
        </w:rPr>
        <w:t>550</w:t>
      </w:r>
      <w:r w:rsidR="005F74BC">
        <w:rPr>
          <w:rFonts w:cstheme="minorHAnsi"/>
        </w:rPr>
        <w:t>,</w:t>
      </w:r>
      <w:r w:rsidR="0027486A">
        <w:rPr>
          <w:rFonts w:cstheme="minorHAnsi"/>
        </w:rPr>
        <w:t>00</w:t>
      </w:r>
      <w:r w:rsidR="005F74BC">
        <w:rPr>
          <w:rFonts w:cstheme="minorHAnsi"/>
        </w:rPr>
        <w:t xml:space="preserve"> eura</w:t>
      </w:r>
      <w:r>
        <w:rPr>
          <w:rFonts w:cstheme="minorHAnsi"/>
        </w:rPr>
        <w:t>.</w:t>
      </w:r>
    </w:p>
    <w:p w14:paraId="0E3BB96A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>Cilj programa je pružanje sigurnosti mještanima Općine, kao i pomoć u radu Javne vatrogasne postrojbe i DVD-ova s područja Općine Štrigova. Pokazatelj rezultata je povećanje kvalitete rada DVD-a s područja Općine.</w:t>
      </w:r>
    </w:p>
    <w:p w14:paraId="2444D879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  <w:b/>
          <w:bCs/>
        </w:rPr>
        <w:t xml:space="preserve">PROGRAM 1011 OSNOVNO I SREDNJOŠKOLSKO OBRAZOVANJE        </w:t>
      </w:r>
    </w:p>
    <w:p w14:paraId="00315FF2" w14:textId="4C349DC0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>Za realizaciju navedenog programa od planiranih 4</w:t>
      </w:r>
      <w:r w:rsidR="0027486A">
        <w:rPr>
          <w:rFonts w:cstheme="minorHAnsi"/>
        </w:rPr>
        <w:t>4</w:t>
      </w:r>
      <w:r>
        <w:rPr>
          <w:rFonts w:cstheme="minorHAnsi"/>
        </w:rPr>
        <w:t>.</w:t>
      </w:r>
      <w:r w:rsidR="0027486A">
        <w:rPr>
          <w:rFonts w:cstheme="minorHAnsi"/>
        </w:rPr>
        <w:t>300</w:t>
      </w:r>
      <w:r>
        <w:rPr>
          <w:rFonts w:cstheme="minorHAnsi"/>
        </w:rPr>
        <w:t xml:space="preserve">,00 eura utrošeno je </w:t>
      </w:r>
      <w:r w:rsidR="0027486A">
        <w:rPr>
          <w:rFonts w:cstheme="minorHAnsi"/>
        </w:rPr>
        <w:t>37</w:t>
      </w:r>
      <w:r>
        <w:rPr>
          <w:rFonts w:cstheme="minorHAnsi"/>
        </w:rPr>
        <w:t>.</w:t>
      </w:r>
      <w:r w:rsidR="0027486A">
        <w:rPr>
          <w:rFonts w:cstheme="minorHAnsi"/>
        </w:rPr>
        <w:t>939</w:t>
      </w:r>
      <w:r>
        <w:rPr>
          <w:rFonts w:cstheme="minorHAnsi"/>
        </w:rPr>
        <w:t>,</w:t>
      </w:r>
      <w:r w:rsidR="0027486A">
        <w:rPr>
          <w:rFonts w:cstheme="minorHAnsi"/>
        </w:rPr>
        <w:t>50</w:t>
      </w:r>
      <w:r>
        <w:rPr>
          <w:rFonts w:cstheme="minorHAnsi"/>
        </w:rPr>
        <w:t xml:space="preserve"> eura ili </w:t>
      </w:r>
      <w:r w:rsidR="0027486A">
        <w:rPr>
          <w:rFonts w:cstheme="minorHAnsi"/>
        </w:rPr>
        <w:t>8</w:t>
      </w:r>
      <w:r w:rsidR="005F74BC">
        <w:rPr>
          <w:rFonts w:cstheme="minorHAnsi"/>
        </w:rPr>
        <w:t>5</w:t>
      </w:r>
      <w:r>
        <w:rPr>
          <w:rFonts w:cstheme="minorHAnsi"/>
        </w:rPr>
        <w:t>,</w:t>
      </w:r>
      <w:r w:rsidR="0027486A">
        <w:rPr>
          <w:rFonts w:cstheme="minorHAnsi"/>
        </w:rPr>
        <w:t>64</w:t>
      </w:r>
      <w:r>
        <w:rPr>
          <w:rFonts w:cstheme="minorHAnsi"/>
        </w:rPr>
        <w:t xml:space="preserve">%. Od navedenog je za donaciju Osnovnoj školi Štrigova utrošeno </w:t>
      </w:r>
      <w:r w:rsidR="0027486A">
        <w:rPr>
          <w:rFonts w:cstheme="minorHAnsi"/>
        </w:rPr>
        <w:t>19.682,48</w:t>
      </w:r>
      <w:r>
        <w:rPr>
          <w:rFonts w:cstheme="minorHAnsi"/>
        </w:rPr>
        <w:t xml:space="preserve"> eura,</w:t>
      </w:r>
      <w:r w:rsidR="005F74BC">
        <w:rPr>
          <w:rFonts w:cstheme="minorHAnsi"/>
        </w:rPr>
        <w:t xml:space="preserve"> za nabavu školskih udžbenika </w:t>
      </w:r>
      <w:r w:rsidR="0027486A">
        <w:rPr>
          <w:rFonts w:cstheme="minorHAnsi"/>
        </w:rPr>
        <w:t>581</w:t>
      </w:r>
      <w:r w:rsidR="005F74BC">
        <w:rPr>
          <w:rFonts w:cstheme="minorHAnsi"/>
        </w:rPr>
        <w:t>,</w:t>
      </w:r>
      <w:r w:rsidR="0027486A">
        <w:rPr>
          <w:rFonts w:cstheme="minorHAnsi"/>
        </w:rPr>
        <w:t>62</w:t>
      </w:r>
      <w:r w:rsidR="005F74BC">
        <w:rPr>
          <w:rFonts w:cstheme="minorHAnsi"/>
        </w:rPr>
        <w:t xml:space="preserve"> eura, za sufinanciranje prijevoza učenika 1.</w:t>
      </w:r>
      <w:r w:rsidR="0027486A">
        <w:rPr>
          <w:rFonts w:cstheme="minorHAnsi"/>
        </w:rPr>
        <w:t>3</w:t>
      </w:r>
      <w:r w:rsidR="005F74BC">
        <w:rPr>
          <w:rFonts w:cstheme="minorHAnsi"/>
        </w:rPr>
        <w:t xml:space="preserve">00,00 eura, </w:t>
      </w:r>
      <w:r>
        <w:rPr>
          <w:rFonts w:cstheme="minorHAnsi"/>
        </w:rPr>
        <w:t xml:space="preserve">za ostale potrebe u školstvu (sufinanciranje škole u prirodi i maturalnog putovanja za učenike 7. razreda) </w:t>
      </w:r>
      <w:r w:rsidR="0027486A">
        <w:rPr>
          <w:rFonts w:cstheme="minorHAnsi"/>
        </w:rPr>
        <w:t>2</w:t>
      </w:r>
      <w:r>
        <w:rPr>
          <w:rFonts w:cstheme="minorHAnsi"/>
        </w:rPr>
        <w:t>.</w:t>
      </w:r>
      <w:r w:rsidR="0027486A">
        <w:rPr>
          <w:rFonts w:cstheme="minorHAnsi"/>
        </w:rPr>
        <w:t>076</w:t>
      </w:r>
      <w:r>
        <w:rPr>
          <w:rFonts w:cstheme="minorHAnsi"/>
        </w:rPr>
        <w:t>,</w:t>
      </w:r>
      <w:r w:rsidR="0027486A">
        <w:rPr>
          <w:rFonts w:cstheme="minorHAnsi"/>
        </w:rPr>
        <w:t>60</w:t>
      </w:r>
      <w:r>
        <w:rPr>
          <w:rFonts w:cstheme="minorHAnsi"/>
        </w:rPr>
        <w:t xml:space="preserve"> eura</w:t>
      </w:r>
      <w:r w:rsidR="005F74BC">
        <w:rPr>
          <w:rFonts w:cstheme="minorHAnsi"/>
        </w:rPr>
        <w:t xml:space="preserve">, </w:t>
      </w:r>
      <w:r>
        <w:rPr>
          <w:rFonts w:cstheme="minorHAnsi"/>
        </w:rPr>
        <w:t xml:space="preserve">za financiranje prehrane učenika OŠ Štrigova </w:t>
      </w:r>
      <w:r w:rsidR="004A13D3">
        <w:rPr>
          <w:rFonts w:cstheme="minorHAnsi"/>
        </w:rPr>
        <w:t>10.</w:t>
      </w:r>
      <w:r w:rsidR="0027486A">
        <w:rPr>
          <w:rFonts w:cstheme="minorHAnsi"/>
        </w:rPr>
        <w:t>698</w:t>
      </w:r>
      <w:r w:rsidR="004A13D3">
        <w:rPr>
          <w:rFonts w:cstheme="minorHAnsi"/>
        </w:rPr>
        <w:t>,</w:t>
      </w:r>
      <w:r w:rsidR="0027486A">
        <w:rPr>
          <w:rFonts w:cstheme="minorHAnsi"/>
        </w:rPr>
        <w:t>8</w:t>
      </w:r>
      <w:r w:rsidR="004A13D3">
        <w:rPr>
          <w:rFonts w:cstheme="minorHAnsi"/>
        </w:rPr>
        <w:t>0</w:t>
      </w:r>
      <w:r>
        <w:rPr>
          <w:rFonts w:cstheme="minorHAnsi"/>
        </w:rPr>
        <w:t xml:space="preserve"> eura</w:t>
      </w:r>
      <w:r w:rsidR="0027486A">
        <w:rPr>
          <w:rFonts w:cstheme="minorHAnsi"/>
        </w:rPr>
        <w:t xml:space="preserve"> i za sufinanciranje deficitarnih obrtničkih zanimanja 3.600,00 eura.</w:t>
      </w:r>
    </w:p>
    <w:p w14:paraId="013A6D0F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>
        <w:rPr>
          <w:rFonts w:cstheme="minorHAnsi"/>
        </w:rPr>
        <w:tab/>
        <w:t xml:space="preserve">Cilj programa je pomoć roditeljima u sufinanciranju osnovnoškolskog obrazovanja. Pokazatelj rezultata je povećanje kvalitete obrazovanja učenika osnovnih škola.  </w:t>
      </w:r>
    </w:p>
    <w:p w14:paraId="10C0E73A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  <w:b/>
          <w:bCs/>
        </w:rPr>
        <w:t>PROGRAM 1012 PREDŠKOLSKI ODGOJ</w:t>
      </w:r>
    </w:p>
    <w:p w14:paraId="53736427" w14:textId="342B48E6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Za predškolski odgoj – sufinanciranje dječjeg vrtića i jaslica od planiranih </w:t>
      </w:r>
      <w:r w:rsidR="0027486A">
        <w:rPr>
          <w:rFonts w:cstheme="minorHAnsi"/>
        </w:rPr>
        <w:t>271.000,00</w:t>
      </w:r>
      <w:r>
        <w:rPr>
          <w:rFonts w:cstheme="minorHAnsi"/>
        </w:rPr>
        <w:t xml:space="preserve"> eura utrošeno je </w:t>
      </w:r>
      <w:r w:rsidR="0027486A">
        <w:rPr>
          <w:rFonts w:cstheme="minorHAnsi"/>
        </w:rPr>
        <w:t>207.706,68</w:t>
      </w:r>
      <w:r>
        <w:rPr>
          <w:rFonts w:cstheme="minorHAnsi"/>
        </w:rPr>
        <w:t xml:space="preserve"> eura ili </w:t>
      </w:r>
      <w:r w:rsidR="004A13D3">
        <w:rPr>
          <w:rFonts w:cstheme="minorHAnsi"/>
        </w:rPr>
        <w:t>7</w:t>
      </w:r>
      <w:r w:rsidR="0027486A">
        <w:rPr>
          <w:rFonts w:cstheme="minorHAnsi"/>
        </w:rPr>
        <w:t>6</w:t>
      </w:r>
      <w:r>
        <w:rPr>
          <w:rFonts w:cstheme="minorHAnsi"/>
        </w:rPr>
        <w:t>,</w:t>
      </w:r>
      <w:r w:rsidR="0027486A">
        <w:rPr>
          <w:rFonts w:cstheme="minorHAnsi"/>
        </w:rPr>
        <w:t>64</w:t>
      </w:r>
      <w:r>
        <w:rPr>
          <w:rFonts w:cstheme="minorHAnsi"/>
        </w:rPr>
        <w:t>% planiranog.</w:t>
      </w:r>
    </w:p>
    <w:p w14:paraId="0CD5FBF8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>
        <w:rPr>
          <w:rFonts w:cstheme="minorHAnsi"/>
        </w:rPr>
        <w:tab/>
        <w:t xml:space="preserve">Cilj programa je sufinanciranje dječjeg vrtića i jaslica. Pokazatelj rezultata je sve veći broj djece upisanih u predškolske ustanove. </w:t>
      </w:r>
    </w:p>
    <w:p w14:paraId="08301DBB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  <w:b/>
          <w:bCs/>
        </w:rPr>
        <w:t>PROGRAM 1013 VISOKO OBRAZOVANJE</w:t>
      </w:r>
    </w:p>
    <w:p w14:paraId="38F15119" w14:textId="3DE9C3CA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U sklopu programa visoko obrazovanje u izvještajnom razdoblju </w:t>
      </w:r>
      <w:r w:rsidR="004A13D3">
        <w:rPr>
          <w:rFonts w:cstheme="minorHAnsi"/>
        </w:rPr>
        <w:t xml:space="preserve">od planiranih </w:t>
      </w:r>
      <w:r w:rsidR="0027486A">
        <w:rPr>
          <w:rFonts w:cstheme="minorHAnsi"/>
        </w:rPr>
        <w:t>40.000,00</w:t>
      </w:r>
      <w:r w:rsidR="004A13D3">
        <w:rPr>
          <w:rFonts w:cstheme="minorHAnsi"/>
        </w:rPr>
        <w:t xml:space="preserve"> eura utrošeno je </w:t>
      </w:r>
      <w:r w:rsidR="0027486A">
        <w:rPr>
          <w:rFonts w:cstheme="minorHAnsi"/>
        </w:rPr>
        <w:t>34.225,00</w:t>
      </w:r>
      <w:r w:rsidR="004A13D3">
        <w:rPr>
          <w:rFonts w:cstheme="minorHAnsi"/>
        </w:rPr>
        <w:t xml:space="preserve"> eura i to  za jednokratne pomoći studentima</w:t>
      </w:r>
      <w:r>
        <w:rPr>
          <w:rFonts w:cstheme="minorHAnsi"/>
        </w:rPr>
        <w:t xml:space="preserve">. </w:t>
      </w:r>
    </w:p>
    <w:p w14:paraId="1CC0EE79" w14:textId="77777777" w:rsidR="001C4242" w:rsidRPr="00B93138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Pr="00B93138">
        <w:rPr>
          <w:rFonts w:cstheme="minorHAnsi"/>
          <w:b/>
          <w:bCs/>
        </w:rPr>
        <w:t xml:space="preserve">PROGRAM 1014 SOCIJALNA SKRB  </w:t>
      </w:r>
    </w:p>
    <w:p w14:paraId="308948E3" w14:textId="33241636" w:rsidR="001C4242" w:rsidRPr="00B93138" w:rsidRDefault="00000000">
      <w:pPr>
        <w:jc w:val="both"/>
        <w:rPr>
          <w:rFonts w:cstheme="minorHAnsi"/>
        </w:rPr>
      </w:pPr>
      <w:r w:rsidRPr="00B93138">
        <w:rPr>
          <w:rFonts w:cstheme="minorHAnsi"/>
        </w:rPr>
        <w:tab/>
        <w:t xml:space="preserve">Planirana sredstva u iznosu od </w:t>
      </w:r>
      <w:r w:rsidR="000D7EDC">
        <w:rPr>
          <w:rFonts w:cstheme="minorHAnsi"/>
        </w:rPr>
        <w:t>103</w:t>
      </w:r>
      <w:r w:rsidRPr="00B93138">
        <w:rPr>
          <w:rFonts w:cstheme="minorHAnsi"/>
        </w:rPr>
        <w:t>.</w:t>
      </w:r>
      <w:r w:rsidR="000D7EDC">
        <w:rPr>
          <w:rFonts w:cstheme="minorHAnsi"/>
        </w:rPr>
        <w:t>800</w:t>
      </w:r>
      <w:r w:rsidRPr="00B93138">
        <w:rPr>
          <w:rFonts w:cstheme="minorHAnsi"/>
        </w:rPr>
        <w:t xml:space="preserve">,00 eura izvršena su u iznosu od </w:t>
      </w:r>
      <w:r w:rsidR="000D7EDC">
        <w:rPr>
          <w:rFonts w:cstheme="minorHAnsi"/>
        </w:rPr>
        <w:t>89</w:t>
      </w:r>
      <w:r w:rsidRPr="00B93138">
        <w:rPr>
          <w:rFonts w:cstheme="minorHAnsi"/>
        </w:rPr>
        <w:t>.</w:t>
      </w:r>
      <w:r w:rsidR="000D7EDC">
        <w:rPr>
          <w:rFonts w:cstheme="minorHAnsi"/>
        </w:rPr>
        <w:t>133,97</w:t>
      </w:r>
      <w:r w:rsidRPr="00B93138">
        <w:rPr>
          <w:rFonts w:cstheme="minorHAnsi"/>
        </w:rPr>
        <w:t xml:space="preserve"> eura ili na razini od </w:t>
      </w:r>
      <w:r w:rsidR="000D7EDC">
        <w:rPr>
          <w:rFonts w:cstheme="minorHAnsi"/>
        </w:rPr>
        <w:t>85</w:t>
      </w:r>
      <w:r w:rsidRPr="00B93138">
        <w:rPr>
          <w:rFonts w:cstheme="minorHAnsi"/>
        </w:rPr>
        <w:t>,</w:t>
      </w:r>
      <w:r w:rsidR="000D7EDC">
        <w:rPr>
          <w:rFonts w:cstheme="minorHAnsi"/>
        </w:rPr>
        <w:t>87</w:t>
      </w:r>
      <w:r w:rsidRPr="00B93138">
        <w:rPr>
          <w:rFonts w:cstheme="minorHAnsi"/>
        </w:rPr>
        <w:t xml:space="preserve">%. Od navedenog je za  jednokratne pomoći utrošeno </w:t>
      </w:r>
      <w:r w:rsidR="000D7EDC">
        <w:rPr>
          <w:rFonts w:cstheme="minorHAnsi"/>
        </w:rPr>
        <w:t>2</w:t>
      </w:r>
      <w:r w:rsidRPr="00B93138">
        <w:rPr>
          <w:rFonts w:cstheme="minorHAnsi"/>
        </w:rPr>
        <w:t>.</w:t>
      </w:r>
      <w:r w:rsidR="000D7EDC">
        <w:rPr>
          <w:rFonts w:cstheme="minorHAnsi"/>
        </w:rPr>
        <w:t>150</w:t>
      </w:r>
      <w:r w:rsidRPr="00B93138">
        <w:rPr>
          <w:rFonts w:cstheme="minorHAnsi"/>
        </w:rPr>
        <w:t xml:space="preserve">,00 eura,  naknada za novorođenčad isplaćena je u iznosu od </w:t>
      </w:r>
      <w:r w:rsidR="000D7EDC">
        <w:rPr>
          <w:rFonts w:cstheme="minorHAnsi"/>
        </w:rPr>
        <w:t>11</w:t>
      </w:r>
      <w:r w:rsidR="00B93138" w:rsidRPr="00B93138">
        <w:rPr>
          <w:rFonts w:cstheme="minorHAnsi"/>
        </w:rPr>
        <w:t>.</w:t>
      </w:r>
      <w:r w:rsidR="000D7EDC">
        <w:rPr>
          <w:rFonts w:cstheme="minorHAnsi"/>
        </w:rPr>
        <w:t>430</w:t>
      </w:r>
      <w:r w:rsidR="00B93138" w:rsidRPr="00B93138">
        <w:rPr>
          <w:rFonts w:cstheme="minorHAnsi"/>
        </w:rPr>
        <w:t>,</w:t>
      </w:r>
      <w:r w:rsidR="000D7EDC">
        <w:rPr>
          <w:rFonts w:cstheme="minorHAnsi"/>
        </w:rPr>
        <w:t>00</w:t>
      </w:r>
      <w:r w:rsidRPr="00B93138">
        <w:rPr>
          <w:rFonts w:cstheme="minorHAnsi"/>
        </w:rPr>
        <w:t xml:space="preserve"> eura,  a umirovljenicima su podijeljeni bonovi povodom uskrsnih </w:t>
      </w:r>
      <w:r w:rsidR="000D7EDC">
        <w:rPr>
          <w:rFonts w:cstheme="minorHAnsi"/>
        </w:rPr>
        <w:t xml:space="preserve"> i božićnih  </w:t>
      </w:r>
      <w:r w:rsidRPr="00B93138">
        <w:rPr>
          <w:rFonts w:cstheme="minorHAnsi"/>
        </w:rPr>
        <w:t>blagdana</w:t>
      </w:r>
      <w:r w:rsidR="00B93138" w:rsidRPr="00B93138">
        <w:rPr>
          <w:rFonts w:cstheme="minorHAnsi"/>
        </w:rPr>
        <w:t xml:space="preserve">, a osobama bez primanja kupljena drva za ogrjev i prehrambeni proizvodi u ukupnom iznosu od </w:t>
      </w:r>
      <w:r w:rsidR="000D7EDC">
        <w:rPr>
          <w:rFonts w:cstheme="minorHAnsi"/>
        </w:rPr>
        <w:t>66.356,32</w:t>
      </w:r>
      <w:r w:rsidR="00B93138" w:rsidRPr="00B93138">
        <w:rPr>
          <w:rFonts w:cstheme="minorHAnsi"/>
        </w:rPr>
        <w:t xml:space="preserve"> eura.</w:t>
      </w:r>
      <w:r w:rsidR="000D7EDC">
        <w:rPr>
          <w:rFonts w:cstheme="minorHAnsi"/>
        </w:rPr>
        <w:t xml:space="preserve"> Ostalim nespomenutim udrugama (Centar </w:t>
      </w:r>
      <w:proofErr w:type="spellStart"/>
      <w:r w:rsidR="000D7EDC">
        <w:rPr>
          <w:rFonts w:cstheme="minorHAnsi"/>
        </w:rPr>
        <w:t>Dosti</w:t>
      </w:r>
      <w:proofErr w:type="spellEnd"/>
      <w:r w:rsidR="000D7EDC">
        <w:rPr>
          <w:rFonts w:cstheme="minorHAnsi"/>
        </w:rPr>
        <w:t>) isplaćeno je 2.997,65 eura.</w:t>
      </w:r>
      <w:r w:rsidRPr="00B93138">
        <w:rPr>
          <w:rFonts w:cstheme="minorHAnsi"/>
        </w:rPr>
        <w:t xml:space="preserve">  </w:t>
      </w:r>
    </w:p>
    <w:p w14:paraId="1DBDF765" w14:textId="77777777" w:rsidR="001C4242" w:rsidRPr="00B93138" w:rsidRDefault="00000000">
      <w:pPr>
        <w:jc w:val="both"/>
        <w:rPr>
          <w:rFonts w:cstheme="minorHAnsi"/>
        </w:rPr>
      </w:pPr>
      <w:r w:rsidRPr="00B93138">
        <w:rPr>
          <w:rFonts w:cstheme="minorHAnsi"/>
        </w:rPr>
        <w:tab/>
        <w:t>Cilj programa je pomoć obiteljima i kućanstvima slabijeg imovinskog statusa, osobama starije životne dobi i mladim obiteljima prilikom rođenja djeteta, a očituje se u poboljšanju kvalitete života.</w:t>
      </w:r>
    </w:p>
    <w:p w14:paraId="1BC8A9BF" w14:textId="77777777" w:rsidR="001C4242" w:rsidRPr="00B93138" w:rsidRDefault="00000000">
      <w:pPr>
        <w:jc w:val="both"/>
        <w:rPr>
          <w:rFonts w:cstheme="minorHAnsi"/>
        </w:rPr>
      </w:pPr>
      <w:r w:rsidRPr="004A13D3">
        <w:rPr>
          <w:rFonts w:cstheme="minorHAnsi"/>
          <w:color w:val="C00000"/>
        </w:rPr>
        <w:tab/>
      </w:r>
      <w:r w:rsidRPr="00B93138">
        <w:rPr>
          <w:rFonts w:cstheme="minorHAnsi"/>
          <w:b/>
          <w:bCs/>
        </w:rPr>
        <w:t>PROGRAM 1015 ZAŠTITA, OČUVANJE I UNAPREĐENJE ZDRAVLJA</w:t>
      </w:r>
    </w:p>
    <w:p w14:paraId="7C24C5DF" w14:textId="46D8303E" w:rsidR="001C4242" w:rsidRPr="00B93138" w:rsidRDefault="00000000">
      <w:pPr>
        <w:jc w:val="both"/>
        <w:rPr>
          <w:rFonts w:cstheme="minorHAnsi"/>
        </w:rPr>
      </w:pPr>
      <w:r w:rsidRPr="00B93138">
        <w:rPr>
          <w:rFonts w:cstheme="minorHAnsi"/>
        </w:rPr>
        <w:tab/>
        <w:t xml:space="preserve">Planirana sredstva u okviru programa zaštite, očuvanja i unapređenja zdravlja </w:t>
      </w:r>
      <w:r w:rsidR="00B93138" w:rsidRPr="00B93138">
        <w:rPr>
          <w:rFonts w:cstheme="minorHAnsi"/>
        </w:rPr>
        <w:t xml:space="preserve">u iznosu od </w:t>
      </w:r>
      <w:r w:rsidR="000D7EDC">
        <w:rPr>
          <w:rFonts w:cstheme="minorHAnsi"/>
        </w:rPr>
        <w:t>8.246,05</w:t>
      </w:r>
      <w:r w:rsidR="00B93138" w:rsidRPr="00B93138">
        <w:rPr>
          <w:rFonts w:cstheme="minorHAnsi"/>
        </w:rPr>
        <w:t xml:space="preserve"> eura </w:t>
      </w:r>
      <w:r w:rsidRPr="00B93138">
        <w:rPr>
          <w:rFonts w:cstheme="minorHAnsi"/>
        </w:rPr>
        <w:t xml:space="preserve">utrošena su u iznosu od </w:t>
      </w:r>
      <w:r w:rsidR="000D7EDC">
        <w:rPr>
          <w:rFonts w:cstheme="minorHAnsi"/>
        </w:rPr>
        <w:t>4</w:t>
      </w:r>
      <w:r w:rsidR="00B93138" w:rsidRPr="00B93138">
        <w:rPr>
          <w:rFonts w:cstheme="minorHAnsi"/>
        </w:rPr>
        <w:t>.</w:t>
      </w:r>
      <w:r w:rsidR="000D7EDC">
        <w:rPr>
          <w:rFonts w:cstheme="minorHAnsi"/>
        </w:rPr>
        <w:t>920</w:t>
      </w:r>
      <w:r w:rsidR="00B93138" w:rsidRPr="00B93138">
        <w:rPr>
          <w:rFonts w:cstheme="minorHAnsi"/>
        </w:rPr>
        <w:t>,</w:t>
      </w:r>
      <w:r w:rsidR="000D7EDC">
        <w:rPr>
          <w:rFonts w:cstheme="minorHAnsi"/>
        </w:rPr>
        <w:t>36</w:t>
      </w:r>
      <w:r w:rsidR="00B93138" w:rsidRPr="00B93138">
        <w:rPr>
          <w:rFonts w:cstheme="minorHAnsi"/>
        </w:rPr>
        <w:t xml:space="preserve"> </w:t>
      </w:r>
      <w:r w:rsidRPr="00B93138">
        <w:rPr>
          <w:rFonts w:cstheme="minorHAnsi"/>
        </w:rPr>
        <w:t xml:space="preserve"> eura ili na razini od </w:t>
      </w:r>
      <w:r w:rsidR="000D7EDC">
        <w:rPr>
          <w:rFonts w:cstheme="minorHAnsi"/>
        </w:rPr>
        <w:t>59</w:t>
      </w:r>
      <w:r w:rsidRPr="00B93138">
        <w:rPr>
          <w:rFonts w:cstheme="minorHAnsi"/>
        </w:rPr>
        <w:t>,</w:t>
      </w:r>
      <w:r w:rsidR="000D7EDC">
        <w:rPr>
          <w:rFonts w:cstheme="minorHAnsi"/>
        </w:rPr>
        <w:t>67</w:t>
      </w:r>
      <w:r w:rsidRPr="00B93138">
        <w:rPr>
          <w:rFonts w:cstheme="minorHAnsi"/>
        </w:rPr>
        <w:t xml:space="preserve">%. </w:t>
      </w:r>
    </w:p>
    <w:p w14:paraId="29C7F2C6" w14:textId="77777777" w:rsidR="001C4242" w:rsidRPr="00B93138" w:rsidRDefault="00000000">
      <w:pPr>
        <w:jc w:val="both"/>
        <w:rPr>
          <w:rFonts w:cstheme="minorHAnsi"/>
        </w:rPr>
      </w:pPr>
      <w:r w:rsidRPr="00B93138">
        <w:rPr>
          <w:rFonts w:cstheme="minorHAnsi"/>
        </w:rPr>
        <w:tab/>
        <w:t xml:space="preserve">Cilj programa je zaštita zdravlja ljudi i životinja. Pokazatelj rezultata se očituje u poboljšanju kvalitete zdravstvene zaštite.      </w:t>
      </w:r>
    </w:p>
    <w:p w14:paraId="76B96C05" w14:textId="6EBF9D6D" w:rsidR="001C4242" w:rsidRPr="001F4F37" w:rsidRDefault="00000000" w:rsidP="000D7EDC">
      <w:pPr>
        <w:jc w:val="both"/>
        <w:rPr>
          <w:rFonts w:cstheme="minorHAnsi"/>
          <w:b/>
          <w:bCs/>
        </w:rPr>
      </w:pPr>
      <w:r w:rsidRPr="004A13D3">
        <w:rPr>
          <w:rFonts w:cstheme="minorHAnsi"/>
          <w:color w:val="C00000"/>
        </w:rPr>
        <w:tab/>
      </w:r>
      <w:r w:rsidRPr="001F4F37">
        <w:rPr>
          <w:rFonts w:cstheme="minorHAnsi"/>
          <w:b/>
          <w:bCs/>
        </w:rPr>
        <w:t xml:space="preserve">PROGRAM 1016 KOMUNALNE POGODNOSTI </w:t>
      </w:r>
    </w:p>
    <w:p w14:paraId="4271F0B4" w14:textId="4215B1DA" w:rsidR="001C4242" w:rsidRPr="00B93138" w:rsidRDefault="00000000">
      <w:pPr>
        <w:jc w:val="both"/>
        <w:rPr>
          <w:rFonts w:eastAsiaTheme="minorHAnsi" w:cstheme="minorHAnsi"/>
          <w:sz w:val="20"/>
          <w:szCs w:val="20"/>
        </w:rPr>
      </w:pPr>
      <w:r w:rsidRPr="00B93138">
        <w:rPr>
          <w:rFonts w:cstheme="minorHAnsi"/>
        </w:rPr>
        <w:tab/>
      </w:r>
      <w:r w:rsidRPr="00B93138">
        <w:rPr>
          <w:rFonts w:eastAsiaTheme="minorHAnsi" w:cstheme="minorHAnsi"/>
          <w:sz w:val="20"/>
          <w:szCs w:val="20"/>
        </w:rPr>
        <w:t>Program 1016 se odnosi na dodjelu poticaja za uređenje nekretnina</w:t>
      </w:r>
      <w:r w:rsidR="00D464BE">
        <w:rPr>
          <w:rFonts w:eastAsiaTheme="minorHAnsi" w:cstheme="minorHAnsi"/>
          <w:sz w:val="20"/>
          <w:szCs w:val="20"/>
        </w:rPr>
        <w:t>,</w:t>
      </w:r>
      <w:r w:rsidRPr="00B93138">
        <w:rPr>
          <w:rFonts w:eastAsiaTheme="minorHAnsi" w:cstheme="minorHAnsi"/>
          <w:sz w:val="20"/>
          <w:szCs w:val="20"/>
        </w:rPr>
        <w:t xml:space="preserve"> izgradnju infrastrukture u zoni stambene izgradnje</w:t>
      </w:r>
      <w:r w:rsidR="00D464BE">
        <w:rPr>
          <w:rFonts w:eastAsiaTheme="minorHAnsi" w:cstheme="minorHAnsi"/>
          <w:sz w:val="20"/>
          <w:szCs w:val="20"/>
        </w:rPr>
        <w:t xml:space="preserve"> i poticajne mjere – solarne elektrane </w:t>
      </w:r>
      <w:r w:rsidRPr="00B93138">
        <w:rPr>
          <w:rFonts w:eastAsiaTheme="minorHAnsi" w:cstheme="minorHAnsi"/>
          <w:sz w:val="20"/>
          <w:szCs w:val="20"/>
        </w:rPr>
        <w:t xml:space="preserve">. Od planiranih </w:t>
      </w:r>
      <w:r w:rsidR="00B93138">
        <w:rPr>
          <w:rFonts w:eastAsiaTheme="minorHAnsi" w:cstheme="minorHAnsi"/>
          <w:sz w:val="20"/>
          <w:szCs w:val="20"/>
        </w:rPr>
        <w:t>2</w:t>
      </w:r>
      <w:r w:rsidR="00D464BE">
        <w:rPr>
          <w:rFonts w:eastAsiaTheme="minorHAnsi" w:cstheme="minorHAnsi"/>
          <w:sz w:val="20"/>
          <w:szCs w:val="20"/>
        </w:rPr>
        <w:t>18</w:t>
      </w:r>
      <w:r w:rsidR="00B93138">
        <w:rPr>
          <w:rFonts w:eastAsiaTheme="minorHAnsi" w:cstheme="minorHAnsi"/>
          <w:sz w:val="20"/>
          <w:szCs w:val="20"/>
        </w:rPr>
        <w:t>.</w:t>
      </w:r>
      <w:r w:rsidR="00D464BE">
        <w:rPr>
          <w:rFonts w:eastAsiaTheme="minorHAnsi" w:cstheme="minorHAnsi"/>
          <w:sz w:val="20"/>
          <w:szCs w:val="20"/>
        </w:rPr>
        <w:t>000</w:t>
      </w:r>
      <w:r w:rsidRPr="00B93138">
        <w:rPr>
          <w:rFonts w:eastAsiaTheme="minorHAnsi" w:cstheme="minorHAnsi"/>
          <w:sz w:val="20"/>
          <w:szCs w:val="20"/>
        </w:rPr>
        <w:t xml:space="preserve">,00 eura utrošeno je </w:t>
      </w:r>
      <w:r w:rsidR="00BF6CAE">
        <w:rPr>
          <w:rFonts w:eastAsiaTheme="minorHAnsi" w:cstheme="minorHAnsi"/>
          <w:sz w:val="20"/>
          <w:szCs w:val="20"/>
        </w:rPr>
        <w:t>1</w:t>
      </w:r>
      <w:r w:rsidR="00D464BE">
        <w:rPr>
          <w:rFonts w:eastAsiaTheme="minorHAnsi" w:cstheme="minorHAnsi"/>
          <w:sz w:val="20"/>
          <w:szCs w:val="20"/>
        </w:rPr>
        <w:t>05</w:t>
      </w:r>
      <w:r w:rsidR="00BF6CAE">
        <w:rPr>
          <w:rFonts w:eastAsiaTheme="minorHAnsi" w:cstheme="minorHAnsi"/>
          <w:sz w:val="20"/>
          <w:szCs w:val="20"/>
        </w:rPr>
        <w:t>.</w:t>
      </w:r>
      <w:r w:rsidR="00D464BE">
        <w:rPr>
          <w:rFonts w:eastAsiaTheme="minorHAnsi" w:cstheme="minorHAnsi"/>
          <w:sz w:val="20"/>
          <w:szCs w:val="20"/>
        </w:rPr>
        <w:t>698,46</w:t>
      </w:r>
      <w:r w:rsidR="00BF6CAE">
        <w:rPr>
          <w:rFonts w:eastAsiaTheme="minorHAnsi" w:cstheme="minorHAnsi"/>
          <w:sz w:val="20"/>
          <w:szCs w:val="20"/>
        </w:rPr>
        <w:t>,64</w:t>
      </w:r>
      <w:r w:rsidRPr="00B93138">
        <w:rPr>
          <w:rFonts w:eastAsiaTheme="minorHAnsi" w:cstheme="minorHAnsi"/>
          <w:sz w:val="20"/>
          <w:szCs w:val="20"/>
        </w:rPr>
        <w:t xml:space="preserve"> eura ili </w:t>
      </w:r>
      <w:r w:rsidR="00D464BE">
        <w:rPr>
          <w:rFonts w:eastAsiaTheme="minorHAnsi" w:cstheme="minorHAnsi"/>
          <w:sz w:val="20"/>
          <w:szCs w:val="20"/>
        </w:rPr>
        <w:t>48</w:t>
      </w:r>
      <w:r w:rsidR="00BF6CAE">
        <w:rPr>
          <w:rFonts w:eastAsiaTheme="minorHAnsi" w:cstheme="minorHAnsi"/>
          <w:sz w:val="20"/>
          <w:szCs w:val="20"/>
        </w:rPr>
        <w:t>,</w:t>
      </w:r>
      <w:r w:rsidR="00D464BE">
        <w:rPr>
          <w:rFonts w:eastAsiaTheme="minorHAnsi" w:cstheme="minorHAnsi"/>
          <w:sz w:val="20"/>
          <w:szCs w:val="20"/>
        </w:rPr>
        <w:t>49</w:t>
      </w:r>
      <w:r w:rsidRPr="00B93138">
        <w:rPr>
          <w:rFonts w:eastAsiaTheme="minorHAnsi" w:cstheme="minorHAnsi"/>
          <w:sz w:val="20"/>
          <w:szCs w:val="20"/>
        </w:rPr>
        <w:t>% planiranog. Ukupno je dodijeljeno 1</w:t>
      </w:r>
      <w:r w:rsidR="00D464BE">
        <w:rPr>
          <w:rFonts w:eastAsiaTheme="minorHAnsi" w:cstheme="minorHAnsi"/>
          <w:sz w:val="20"/>
          <w:szCs w:val="20"/>
        </w:rPr>
        <w:t>8</w:t>
      </w:r>
      <w:r w:rsidRPr="00B93138">
        <w:rPr>
          <w:rFonts w:eastAsiaTheme="minorHAnsi" w:cstheme="minorHAnsi"/>
          <w:sz w:val="20"/>
          <w:szCs w:val="20"/>
        </w:rPr>
        <w:t xml:space="preserve"> poticaja</w:t>
      </w:r>
      <w:r w:rsidR="00D464BE">
        <w:rPr>
          <w:rFonts w:eastAsiaTheme="minorHAnsi" w:cstheme="minorHAnsi"/>
          <w:sz w:val="20"/>
          <w:szCs w:val="20"/>
        </w:rPr>
        <w:t xml:space="preserve"> za uređenje nekretnina</w:t>
      </w:r>
      <w:r w:rsidRPr="00B93138">
        <w:rPr>
          <w:rFonts w:eastAsiaTheme="minorHAnsi" w:cstheme="minorHAnsi"/>
          <w:sz w:val="20"/>
          <w:szCs w:val="20"/>
        </w:rPr>
        <w:t xml:space="preserve"> koji iznose 6</w:t>
      </w:r>
      <w:r w:rsidR="00D464BE">
        <w:rPr>
          <w:rFonts w:eastAsiaTheme="minorHAnsi" w:cstheme="minorHAnsi"/>
          <w:sz w:val="20"/>
          <w:szCs w:val="20"/>
        </w:rPr>
        <w:t>9</w:t>
      </w:r>
      <w:r w:rsidRPr="00B93138">
        <w:rPr>
          <w:rFonts w:eastAsiaTheme="minorHAnsi" w:cstheme="minorHAnsi"/>
          <w:sz w:val="20"/>
          <w:szCs w:val="20"/>
        </w:rPr>
        <w:t>.</w:t>
      </w:r>
      <w:r w:rsidR="00D464BE">
        <w:rPr>
          <w:rFonts w:eastAsiaTheme="minorHAnsi" w:cstheme="minorHAnsi"/>
          <w:sz w:val="20"/>
          <w:szCs w:val="20"/>
        </w:rPr>
        <w:t>000</w:t>
      </w:r>
      <w:r w:rsidRPr="00B93138">
        <w:rPr>
          <w:rFonts w:eastAsiaTheme="minorHAnsi" w:cstheme="minorHAnsi"/>
          <w:sz w:val="20"/>
          <w:szCs w:val="20"/>
        </w:rPr>
        <w:t>,</w:t>
      </w:r>
      <w:r w:rsidR="00D464BE">
        <w:rPr>
          <w:rFonts w:eastAsiaTheme="minorHAnsi" w:cstheme="minorHAnsi"/>
          <w:sz w:val="20"/>
          <w:szCs w:val="20"/>
        </w:rPr>
        <w:t>00</w:t>
      </w:r>
      <w:r w:rsidRPr="00B93138">
        <w:rPr>
          <w:rFonts w:eastAsiaTheme="minorHAnsi" w:cstheme="minorHAnsi"/>
          <w:sz w:val="20"/>
          <w:szCs w:val="20"/>
        </w:rPr>
        <w:t xml:space="preserve"> eura</w:t>
      </w:r>
      <w:r w:rsidR="00AC1349">
        <w:rPr>
          <w:rFonts w:eastAsiaTheme="minorHAnsi" w:cstheme="minorHAnsi"/>
          <w:sz w:val="20"/>
          <w:szCs w:val="20"/>
        </w:rPr>
        <w:t xml:space="preserve">, za infrastrukturu u zoni stambene izgradnje nije bilo rashoda, a u </w:t>
      </w:r>
      <w:r w:rsidR="00BF6CAE">
        <w:rPr>
          <w:rFonts w:eastAsiaTheme="minorHAnsi" w:cstheme="minorHAnsi"/>
          <w:sz w:val="20"/>
          <w:szCs w:val="20"/>
        </w:rPr>
        <w:t xml:space="preserve">okviru aktivnosti poticajne mjere – solarne elektrane dodijeljeno je </w:t>
      </w:r>
      <w:r w:rsidR="00AC1349">
        <w:rPr>
          <w:rFonts w:eastAsiaTheme="minorHAnsi" w:cstheme="minorHAnsi"/>
          <w:sz w:val="20"/>
          <w:szCs w:val="20"/>
        </w:rPr>
        <w:t xml:space="preserve">11 </w:t>
      </w:r>
      <w:r w:rsidR="00BF6CAE">
        <w:rPr>
          <w:rFonts w:eastAsiaTheme="minorHAnsi" w:cstheme="minorHAnsi"/>
          <w:sz w:val="20"/>
          <w:szCs w:val="20"/>
        </w:rPr>
        <w:t xml:space="preserve">poticaja u ukupnom iznosu od </w:t>
      </w:r>
      <w:r w:rsidR="00AC1349">
        <w:rPr>
          <w:rFonts w:eastAsiaTheme="minorHAnsi" w:cstheme="minorHAnsi"/>
          <w:sz w:val="20"/>
          <w:szCs w:val="20"/>
        </w:rPr>
        <w:t>36</w:t>
      </w:r>
      <w:r w:rsidR="00BF6CAE">
        <w:rPr>
          <w:rFonts w:eastAsiaTheme="minorHAnsi" w:cstheme="minorHAnsi"/>
          <w:sz w:val="20"/>
          <w:szCs w:val="20"/>
        </w:rPr>
        <w:t>.</w:t>
      </w:r>
      <w:r w:rsidR="00AC1349">
        <w:rPr>
          <w:rFonts w:eastAsiaTheme="minorHAnsi" w:cstheme="minorHAnsi"/>
          <w:sz w:val="20"/>
          <w:szCs w:val="20"/>
        </w:rPr>
        <w:t>698</w:t>
      </w:r>
      <w:r w:rsidR="00BF6CAE">
        <w:rPr>
          <w:rFonts w:eastAsiaTheme="minorHAnsi" w:cstheme="minorHAnsi"/>
          <w:sz w:val="20"/>
          <w:szCs w:val="20"/>
        </w:rPr>
        <w:t>,</w:t>
      </w:r>
      <w:r w:rsidR="00AC1349">
        <w:rPr>
          <w:rFonts w:eastAsiaTheme="minorHAnsi" w:cstheme="minorHAnsi"/>
          <w:sz w:val="20"/>
          <w:szCs w:val="20"/>
        </w:rPr>
        <w:t>46</w:t>
      </w:r>
      <w:r w:rsidR="00BF6CAE">
        <w:rPr>
          <w:rFonts w:eastAsiaTheme="minorHAnsi" w:cstheme="minorHAnsi"/>
          <w:sz w:val="20"/>
          <w:szCs w:val="20"/>
        </w:rPr>
        <w:t xml:space="preserve"> eura.</w:t>
      </w:r>
    </w:p>
    <w:p w14:paraId="282C1105" w14:textId="77777777" w:rsidR="001C4242" w:rsidRPr="00BF6CAE" w:rsidRDefault="00000000">
      <w:pPr>
        <w:jc w:val="both"/>
        <w:rPr>
          <w:rFonts w:cstheme="minorHAnsi"/>
        </w:rPr>
      </w:pPr>
      <w:r w:rsidRPr="004A13D3">
        <w:rPr>
          <w:rFonts w:cstheme="minorHAnsi"/>
          <w:color w:val="C00000"/>
        </w:rPr>
        <w:tab/>
      </w:r>
      <w:r w:rsidRPr="00BF6CAE">
        <w:rPr>
          <w:rFonts w:cstheme="minorHAnsi"/>
        </w:rPr>
        <w:t>Cilj programa je smanjenje iseljavanja mladih obitelji iz Općine Štrigova i stvaranje povoljnog okruženja za dolazak mladih obitelji na područje Općine Štrigova. Pokazatelj rezultata je ostanak mladih obitelji u Općini Štrigova.</w:t>
      </w:r>
    </w:p>
    <w:p w14:paraId="212ABB34" w14:textId="77777777" w:rsidR="00AC1349" w:rsidRDefault="00000000">
      <w:pPr>
        <w:jc w:val="both"/>
        <w:rPr>
          <w:rFonts w:cstheme="minorHAnsi"/>
        </w:rPr>
      </w:pPr>
      <w:r w:rsidRPr="00BF6CAE">
        <w:rPr>
          <w:rFonts w:cstheme="minorHAnsi"/>
        </w:rPr>
        <w:tab/>
      </w:r>
    </w:p>
    <w:p w14:paraId="26B49489" w14:textId="4299CBC2" w:rsidR="001C4242" w:rsidRPr="00BF6CAE" w:rsidRDefault="00000000">
      <w:pPr>
        <w:jc w:val="both"/>
        <w:rPr>
          <w:rFonts w:cstheme="minorHAnsi"/>
          <w:b/>
        </w:rPr>
      </w:pPr>
      <w:r w:rsidRPr="00BF6CAE">
        <w:rPr>
          <w:rFonts w:cstheme="minorHAnsi"/>
          <w:b/>
        </w:rPr>
        <w:t>4. IZVJEŠTAJ O KORIŠTENJU PRORAČUNSKE ZALIHE</w:t>
      </w:r>
    </w:p>
    <w:p w14:paraId="78B30D8E" w14:textId="77777777" w:rsidR="001C4242" w:rsidRPr="00BF6CAE" w:rsidRDefault="00000000">
      <w:pPr>
        <w:jc w:val="both"/>
        <w:rPr>
          <w:rFonts w:cstheme="minorHAnsi"/>
        </w:rPr>
      </w:pPr>
      <w:r w:rsidRPr="00BF6CAE">
        <w:rPr>
          <w:rFonts w:cstheme="minorHAnsi"/>
        </w:rPr>
        <w:t>Tijekom izvještajnog razdoblja Općina nije koristila proračunsku zalihu.</w:t>
      </w:r>
    </w:p>
    <w:p w14:paraId="081BECDC" w14:textId="77777777" w:rsidR="001C4242" w:rsidRPr="004A13D3" w:rsidRDefault="001C4242">
      <w:pPr>
        <w:jc w:val="both"/>
        <w:rPr>
          <w:rFonts w:cstheme="minorHAnsi"/>
          <w:b/>
          <w:color w:val="C00000"/>
        </w:rPr>
      </w:pPr>
    </w:p>
    <w:p w14:paraId="325A7988" w14:textId="77777777" w:rsidR="001C4242" w:rsidRPr="005A296F" w:rsidRDefault="00000000">
      <w:pPr>
        <w:jc w:val="both"/>
        <w:rPr>
          <w:rFonts w:cstheme="minorHAnsi"/>
          <w:b/>
        </w:rPr>
      </w:pPr>
      <w:r w:rsidRPr="005A296F">
        <w:rPr>
          <w:rFonts w:cstheme="minorHAnsi"/>
          <w:b/>
        </w:rPr>
        <w:lastRenderedPageBreak/>
        <w:t>5. IZVJEŠTAJ O ZADUŽIVANJU NA DOMAĆEM I STRANOM TRŽIŠTU NOVCA I KAPITALA</w:t>
      </w:r>
    </w:p>
    <w:p w14:paraId="76C63AA6" w14:textId="77777777" w:rsidR="00AC1349" w:rsidRPr="00983C57" w:rsidRDefault="00AC1349" w:rsidP="00AC1349">
      <w:r w:rsidRPr="00983C57">
        <w:t>U izvještajnom razdoblju Općina se nije zaduživala na domaćem i stranom tržištu novca i kapitala, te nije koristila prekoračenje na poslovnom računu.</w:t>
      </w:r>
    </w:p>
    <w:p w14:paraId="46C408BC" w14:textId="77777777" w:rsidR="00CD3C28" w:rsidRDefault="00CD3C28">
      <w:pPr>
        <w:jc w:val="both"/>
        <w:rPr>
          <w:rFonts w:cstheme="minorHAnsi"/>
          <w:b/>
        </w:rPr>
      </w:pPr>
    </w:p>
    <w:p w14:paraId="0C327E19" w14:textId="12F471F2" w:rsidR="001C4242" w:rsidRPr="004C207F" w:rsidRDefault="00000000">
      <w:pPr>
        <w:jc w:val="both"/>
        <w:rPr>
          <w:rFonts w:cstheme="minorHAnsi"/>
          <w:b/>
        </w:rPr>
      </w:pPr>
      <w:r w:rsidRPr="004C207F">
        <w:rPr>
          <w:rFonts w:cstheme="minorHAnsi"/>
          <w:b/>
        </w:rPr>
        <w:t>6. IZVJEŠTAJ O DANIM JAMSTVIMA I PLAĆANJIMA PO PROTESTIRANIM JAMSTVIMA</w:t>
      </w:r>
    </w:p>
    <w:p w14:paraId="081C3F4E" w14:textId="5CACE74A" w:rsidR="001C4242" w:rsidRPr="004C207F" w:rsidRDefault="00000000">
      <w:pPr>
        <w:jc w:val="both"/>
        <w:rPr>
          <w:rFonts w:cstheme="minorHAnsi"/>
        </w:rPr>
      </w:pPr>
      <w:r w:rsidRPr="004C207F">
        <w:rPr>
          <w:rFonts w:cstheme="minorHAnsi"/>
        </w:rPr>
        <w:t>Stanje obveza po danim jamstvima iskazanim u vanbilančnoj evidenciji na početku proračunske godine, tj. na dan 01.01.202</w:t>
      </w:r>
      <w:r w:rsidR="00793264">
        <w:rPr>
          <w:rFonts w:cstheme="minorHAnsi"/>
        </w:rPr>
        <w:t>4</w:t>
      </w:r>
      <w:r w:rsidRPr="004C207F">
        <w:rPr>
          <w:rFonts w:cstheme="minorHAnsi"/>
        </w:rPr>
        <w:t>. iznosilo je</w:t>
      </w:r>
      <w:r w:rsidR="00793264">
        <w:rPr>
          <w:rFonts w:cstheme="minorHAnsi"/>
        </w:rPr>
        <w:t xml:space="preserve"> 261.906,27 </w:t>
      </w:r>
      <w:r w:rsidRPr="004C207F">
        <w:rPr>
          <w:rFonts w:cstheme="minorHAnsi"/>
        </w:rPr>
        <w:t xml:space="preserve">eura, a na kraju izvještajnog razdoblja, tj. na dan </w:t>
      </w:r>
      <w:r w:rsidR="00C310A7" w:rsidRPr="004C207F">
        <w:rPr>
          <w:rFonts w:cstheme="minorHAnsi"/>
        </w:rPr>
        <w:t>31</w:t>
      </w:r>
      <w:r w:rsidRPr="004C207F">
        <w:rPr>
          <w:rFonts w:cstheme="minorHAnsi"/>
        </w:rPr>
        <w:t>.</w:t>
      </w:r>
      <w:r w:rsidR="00C310A7" w:rsidRPr="004C207F">
        <w:rPr>
          <w:rFonts w:cstheme="minorHAnsi"/>
        </w:rPr>
        <w:t>12</w:t>
      </w:r>
      <w:r w:rsidRPr="004C207F">
        <w:rPr>
          <w:rFonts w:cstheme="minorHAnsi"/>
        </w:rPr>
        <w:t>.202</w:t>
      </w:r>
      <w:r w:rsidR="00793264">
        <w:rPr>
          <w:rFonts w:cstheme="minorHAnsi"/>
        </w:rPr>
        <w:t>4</w:t>
      </w:r>
      <w:r w:rsidRPr="004C207F">
        <w:rPr>
          <w:rFonts w:cstheme="minorHAnsi"/>
        </w:rPr>
        <w:t xml:space="preserve">. iznosilo je </w:t>
      </w:r>
      <w:r w:rsidR="00F4140D">
        <w:rPr>
          <w:rFonts w:cstheme="minorHAnsi"/>
        </w:rPr>
        <w:t>1.275.098,42</w:t>
      </w:r>
      <w:r w:rsidR="004C207F">
        <w:rPr>
          <w:rFonts w:cstheme="minorHAnsi"/>
        </w:rPr>
        <w:t xml:space="preserve"> </w:t>
      </w:r>
      <w:r w:rsidRPr="004C207F">
        <w:rPr>
          <w:rFonts w:cstheme="minorHAnsi"/>
        </w:rPr>
        <w:t>eura.</w:t>
      </w:r>
    </w:p>
    <w:p w14:paraId="3EB54BFB" w14:textId="77777777" w:rsidR="001C4242" w:rsidRDefault="00000000">
      <w:pPr>
        <w:jc w:val="both"/>
        <w:rPr>
          <w:rFonts w:cstheme="minorHAnsi"/>
        </w:rPr>
      </w:pPr>
      <w:r w:rsidRPr="004C207F">
        <w:rPr>
          <w:rFonts w:cstheme="minorHAnsi"/>
        </w:rPr>
        <w:t>Pregled danih jamstava:</w:t>
      </w:r>
    </w:p>
    <w:p w14:paraId="3F761426" w14:textId="77777777" w:rsidR="009C224A" w:rsidRDefault="009C224A">
      <w:pPr>
        <w:jc w:val="both"/>
        <w:rPr>
          <w:rFonts w:cstheme="minorHAnsi"/>
        </w:rPr>
      </w:pPr>
    </w:p>
    <w:tbl>
      <w:tblPr>
        <w:tblW w:w="146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701"/>
        <w:gridCol w:w="1559"/>
        <w:gridCol w:w="2552"/>
        <w:gridCol w:w="1417"/>
        <w:gridCol w:w="2977"/>
        <w:gridCol w:w="1276"/>
        <w:gridCol w:w="1276"/>
      </w:tblGrid>
      <w:tr w:rsidR="009C224A" w:rsidRPr="0034437F" w14:paraId="0B0AA71B" w14:textId="77777777" w:rsidTr="006522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329D" w14:textId="1E6A512B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Red. </w:t>
            </w: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Pr="0034437F">
              <w:rPr>
                <w:rFonts w:ascii="Calibri" w:hAnsi="Calibri" w:cs="Calibri"/>
                <w:sz w:val="22"/>
                <w:szCs w:val="22"/>
              </w:rPr>
              <w:t>roj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F90" w14:textId="77777777" w:rsidR="009C224A" w:rsidRPr="0034437F" w:rsidRDefault="009C224A" w:rsidP="00BC68E5">
            <w:pPr>
              <w:ind w:right="-3"/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Datum izdavanja jamstva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7892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Instrument osiguranja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8142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Iznos danog jamstva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A381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Primatelj jamstva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86AB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Namjena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433C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Dokument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2B0A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Rok važenja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FB17" w14:textId="77777777" w:rsidR="009C224A" w:rsidRPr="0034437F" w:rsidRDefault="009C224A" w:rsidP="00BC68E5">
            <w:pPr>
              <w:ind w:right="35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437F">
              <w:rPr>
                <w:rFonts w:ascii="Calibri" w:hAnsi="Calibri" w:cs="Calibri"/>
                <w:b/>
                <w:bCs/>
                <w:sz w:val="22"/>
                <w:szCs w:val="22"/>
              </w:rPr>
              <w:t>Napomena</w:t>
            </w:r>
          </w:p>
        </w:tc>
      </w:tr>
      <w:tr w:rsidR="009C224A" w:rsidRPr="0034437F" w14:paraId="17250A67" w14:textId="77777777" w:rsidTr="006522F2">
        <w:trPr>
          <w:trHeight w:val="10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7321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1.</w:t>
            </w:r>
          </w:p>
          <w:p w14:paraId="0F8274EF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CCB44B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4EF4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02.05.2017.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AB8D5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Obična zadužnica</w:t>
            </w:r>
          </w:p>
          <w:p w14:paraId="22D1CD8C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0V-4129/17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4B99" w14:textId="77777777" w:rsidR="009C224A" w:rsidRPr="0034437F" w:rsidRDefault="009C224A" w:rsidP="006522F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3.384,43 EUR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2152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Međimurske vode d.o.o. Čakovec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207A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Sporazumu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D26C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Sporazum – Izgradnja produžetka vodovoda u Sv. Urbanu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3482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0657" w14:textId="77777777" w:rsidR="009C224A" w:rsidRPr="0034437F" w:rsidRDefault="009C224A" w:rsidP="00BC68E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C224A" w:rsidRPr="0034437F" w14:paraId="2AC18210" w14:textId="77777777" w:rsidTr="006522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E03F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2.</w:t>
            </w:r>
          </w:p>
          <w:p w14:paraId="200387A9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782FC5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6D17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07.08.2017.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BAA3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Obična zadužnica</w:t>
            </w:r>
          </w:p>
          <w:p w14:paraId="01AACA4C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OV-7717/17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793D" w14:textId="77777777" w:rsidR="009C224A" w:rsidRPr="0034437F" w:rsidRDefault="009C224A" w:rsidP="006522F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1.327,23 EUR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D269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INA d.d. Zagreb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C7EE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Ugovoru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E1BC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Ugovor – INA kartica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AED4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EA6F" w14:textId="77777777" w:rsidR="009C224A" w:rsidRPr="0034437F" w:rsidRDefault="009C224A" w:rsidP="00BC68E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C224A" w:rsidRPr="0034437F" w14:paraId="5334D91F" w14:textId="77777777" w:rsidTr="006522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5C34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3.</w:t>
            </w:r>
          </w:p>
          <w:p w14:paraId="1B89202B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A3CCF6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F42E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28.02.2018.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3119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Obična zadužnica</w:t>
            </w:r>
          </w:p>
          <w:p w14:paraId="13466241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OV-1481/2018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06BF" w14:textId="77777777" w:rsidR="009C224A" w:rsidRPr="0034437F" w:rsidRDefault="009C224A" w:rsidP="006522F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10.012,29 EUR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8A86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Međimurske vode d.o.o.</w:t>
            </w:r>
          </w:p>
          <w:p w14:paraId="26163F47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Čakovec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3F5D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Sporazumu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B1F2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Sporazum – produžetak vodovodne mreže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5E9E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94BD" w14:textId="77777777" w:rsidR="009C224A" w:rsidRPr="0034437F" w:rsidRDefault="009C224A" w:rsidP="00BC68E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C224A" w:rsidRPr="0034437F" w14:paraId="7C0FB305" w14:textId="77777777" w:rsidTr="006522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A5886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bookmarkStart w:id="3" w:name="_Hlk158797771"/>
            <w:r w:rsidRPr="0034437F">
              <w:rPr>
                <w:rFonts w:ascii="Calibri" w:hAnsi="Calibri" w:cs="Calibri"/>
                <w:sz w:val="22"/>
                <w:szCs w:val="22"/>
              </w:rPr>
              <w:lastRenderedPageBreak/>
              <w:t>4.</w:t>
            </w:r>
          </w:p>
          <w:p w14:paraId="49A2D37D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982ED7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AC13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22.01.2021.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10B3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Bjanko zadužnica</w:t>
            </w:r>
          </w:p>
          <w:p w14:paraId="409C548E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OV-625/2021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A7E6" w14:textId="77777777" w:rsidR="009C224A" w:rsidRPr="0034437F" w:rsidRDefault="009C224A" w:rsidP="006522F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66.361,40 EUR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0263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Ministarstvo prostornoga uređenja, graditeljstva i državne imovine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7604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Ugovoru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606D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Ugovor – Izgradnja nerazvrstane ceste u Sv. Urbanu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21CC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B4DAD" w14:textId="77777777" w:rsidR="009C224A" w:rsidRPr="0034437F" w:rsidRDefault="009C224A" w:rsidP="00BC68E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C224A" w:rsidRPr="0034437F" w14:paraId="7F7575B6" w14:textId="77777777" w:rsidTr="006522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CA78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bookmarkStart w:id="4" w:name="_Hlk158797634"/>
            <w:bookmarkEnd w:id="3"/>
            <w:r w:rsidRPr="0034437F">
              <w:rPr>
                <w:rFonts w:ascii="Calibri" w:hAnsi="Calibri" w:cs="Calibri"/>
                <w:sz w:val="22"/>
                <w:szCs w:val="22"/>
              </w:rPr>
              <w:t>5.</w:t>
            </w:r>
          </w:p>
          <w:p w14:paraId="068B169E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EF67A5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E56A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27.09.2022.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DE18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Zadužnica </w:t>
            </w:r>
          </w:p>
          <w:p w14:paraId="49CD4B52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OV-7716/2022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701D" w14:textId="77777777" w:rsidR="009C224A" w:rsidRPr="0034437F" w:rsidRDefault="009C224A" w:rsidP="006522F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36.946,71 EUR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F4E2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 Međimurske vode d.o.o. Čakovec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4E9B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Sporazumu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553D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Sporazum – Izgradnja produžetka vodovodne mreže u Štrigovi, uz D227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098E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8B4A" w14:textId="77777777" w:rsidR="009C224A" w:rsidRPr="0034437F" w:rsidRDefault="009C224A" w:rsidP="00BC68E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bookmarkEnd w:id="4"/>
      <w:tr w:rsidR="009C224A" w:rsidRPr="0034437F" w14:paraId="16DC1042" w14:textId="77777777" w:rsidTr="006522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D388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6.</w:t>
            </w:r>
          </w:p>
          <w:p w14:paraId="0A8CF189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1AC22D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150A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07.03.2023.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BC832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Zadužnica </w:t>
            </w:r>
          </w:p>
          <w:p w14:paraId="03EBFC69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OV-2166/2023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FE3F" w14:textId="77777777" w:rsidR="009C224A" w:rsidRPr="0034437F" w:rsidRDefault="009C224A" w:rsidP="006522F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2.512,81 EUR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6FE7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 Međimurske vode d.o.o. Čakovec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F9E3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Sporazumu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54CE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Sporazum – Izgradnja produžetka vodovodne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266B" w14:textId="77777777" w:rsidR="009C224A" w:rsidRPr="0034437F" w:rsidRDefault="009C224A" w:rsidP="00BC68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D0EF" w14:textId="77777777" w:rsidR="009C224A" w:rsidRPr="0034437F" w:rsidRDefault="009C224A" w:rsidP="00BC68E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C224A" w:rsidRPr="0034437F" w14:paraId="780FEF15" w14:textId="77777777" w:rsidTr="006522F2">
        <w:trPr>
          <w:trHeight w:val="6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66A2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003D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02.06.2023.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DE27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Bjanko zadužnica OV-1133/2023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6EA2" w14:textId="77777777" w:rsidR="009C224A" w:rsidRPr="0034437F" w:rsidRDefault="009C224A" w:rsidP="006522F2">
            <w:pPr>
              <w:jc w:val="right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75.000,00 EUR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2F58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Ministarstvo prostornoga uređenja, graditeljstva i državne imovine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0B6D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Ugovoru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20E0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Ugovor – izgradnja prometnice s oborinskom odvodnjom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55B11" w14:textId="77777777" w:rsidR="009C224A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2B7F4537" w14:textId="77777777" w:rsidR="009C224A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3DC107C5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D49A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C224A" w:rsidRPr="0034437F" w14:paraId="22F4846C" w14:textId="77777777" w:rsidTr="006522F2">
        <w:trPr>
          <w:trHeight w:val="6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025A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8.</w:t>
            </w:r>
          </w:p>
          <w:p w14:paraId="2FEAE4C7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615774F7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1D4A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24.01.2024.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9FDC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Zadužnica</w:t>
            </w:r>
          </w:p>
          <w:p w14:paraId="61989E0D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OV-717/2024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3E8D" w14:textId="77777777" w:rsidR="009C224A" w:rsidRPr="0034437F" w:rsidRDefault="009C224A" w:rsidP="006522F2">
            <w:pPr>
              <w:jc w:val="right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2.443,75 EUR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7B4B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Međimurske vode d.o.o.</w:t>
            </w:r>
          </w:p>
          <w:p w14:paraId="3A56BE71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Čakovec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D8DB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Jamstvo po Sporazumu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214C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Sporazum – Produžetak vodovodne mreže u Štrigovi</w:t>
            </w:r>
          </w:p>
          <w:p w14:paraId="405A5559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112B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96A7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C224A" w:rsidRPr="0034437F" w14:paraId="4FA636C2" w14:textId="77777777" w:rsidTr="006522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F18A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9.</w:t>
            </w:r>
          </w:p>
          <w:p w14:paraId="35A6E77E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5F0B94A1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C5BE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 xml:space="preserve">28.03.2024.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0163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Zadužnica OV-2738/2024.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F400" w14:textId="77777777" w:rsidR="009C224A" w:rsidRPr="0034437F" w:rsidRDefault="009C224A" w:rsidP="006522F2">
            <w:pPr>
              <w:jc w:val="right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624.283,83 EUR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9751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Međimurske vode d.o.o.</w:t>
            </w:r>
          </w:p>
          <w:p w14:paraId="2557C6CF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Čakovec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B882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Jamstvo po Sporazumu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2DBD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Sporazum – Izgradnja kanalizacije naselja Štrigova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95B0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353C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C224A" w:rsidRPr="0034437F" w14:paraId="549F3D1E" w14:textId="77777777" w:rsidTr="006522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82F9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bookmarkStart w:id="5" w:name="_Hlk189924993"/>
            <w:r w:rsidRPr="0034437F">
              <w:rPr>
                <w:rFonts w:cstheme="minorHAnsi"/>
                <w:sz w:val="22"/>
                <w:szCs w:val="22"/>
              </w:rPr>
              <w:lastRenderedPageBreak/>
              <w:t>10.</w:t>
            </w:r>
          </w:p>
          <w:p w14:paraId="3AA063C6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36206A30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8350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 xml:space="preserve">28.03.2024.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5FAA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Zadužnica OV-2739/2024.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E12A" w14:textId="77777777" w:rsidR="009C224A" w:rsidRPr="0034437F" w:rsidRDefault="009C224A" w:rsidP="006522F2">
            <w:pPr>
              <w:jc w:val="right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403.738,47 EUR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CB04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Međimurske vode d.o.o.</w:t>
            </w:r>
          </w:p>
          <w:p w14:paraId="04E55297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Čakovec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212D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Jamstvo po Sporazumu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AFA4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Sporazum – Izgradnja uređaja za pročišćavanje otpadnih voda Štrigova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D676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22F6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bookmarkEnd w:id="5"/>
      <w:tr w:rsidR="009C224A" w:rsidRPr="0034437F" w14:paraId="02EB1101" w14:textId="77777777" w:rsidTr="006522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87B24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11.</w:t>
            </w:r>
          </w:p>
          <w:p w14:paraId="06990CB7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38898D0A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9A31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 xml:space="preserve">08.10.2024.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104F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Zadužnica OV-473/2024.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7D9D" w14:textId="77777777" w:rsidR="009C224A" w:rsidRPr="0034437F" w:rsidRDefault="009C224A" w:rsidP="006522F2">
            <w:pPr>
              <w:jc w:val="right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49.087,50 EUR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E4D8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Međimurske vode d.o.o.</w:t>
            </w:r>
          </w:p>
          <w:p w14:paraId="1C453991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Čakovec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3656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>Jamstvo po Sporazumu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3FBB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  <w:r w:rsidRPr="0034437F">
              <w:rPr>
                <w:rFonts w:cstheme="minorHAnsi"/>
                <w:sz w:val="22"/>
                <w:szCs w:val="22"/>
              </w:rPr>
              <w:t xml:space="preserve">Sporazum – Produžetak vodovodne mreže u Štrigovi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D581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9745" w14:textId="77777777" w:rsidR="009C224A" w:rsidRPr="0034437F" w:rsidRDefault="009C224A" w:rsidP="00BC68E5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0EF80C2A" w14:textId="77777777" w:rsidR="009C224A" w:rsidRPr="0034437F" w:rsidRDefault="009C224A" w:rsidP="009C224A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5CF74E99" w14:textId="77777777" w:rsidR="009C224A" w:rsidRDefault="009C224A" w:rsidP="009C224A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7F9D4817" w14:textId="7350478F" w:rsidR="00836F7D" w:rsidRPr="00102257" w:rsidRDefault="004C207F">
      <w:pPr>
        <w:jc w:val="both"/>
        <w:rPr>
          <w:rFonts w:cstheme="minorHAnsi"/>
          <w:b/>
          <w:sz w:val="22"/>
          <w:szCs w:val="22"/>
        </w:rPr>
      </w:pPr>
      <w:bookmarkStart w:id="6" w:name="_Hlk145508963"/>
      <w:bookmarkStart w:id="7" w:name="_Hlk145575463"/>
      <w:bookmarkStart w:id="8" w:name="_Hlk145575395"/>
      <w:r w:rsidRPr="00102257">
        <w:rPr>
          <w:rFonts w:cstheme="minorHAnsi"/>
          <w:b/>
          <w:sz w:val="22"/>
          <w:szCs w:val="22"/>
        </w:rPr>
        <w:t>7. IZVJEŠTAJ O KORIŠTENJU SREDSTAVA FONDOVA EUROPSKE UNIJE</w:t>
      </w:r>
    </w:p>
    <w:p w14:paraId="4270BEDC" w14:textId="0ABCE4B3" w:rsidR="00793264" w:rsidRPr="00793264" w:rsidRDefault="00793264" w:rsidP="00793264">
      <w:pPr>
        <w:jc w:val="both"/>
        <w:rPr>
          <w:rFonts w:eastAsia="Arial"/>
          <w:sz w:val="24"/>
          <w:szCs w:val="24"/>
          <w:lang w:val="x-none" w:eastAsia="x-none"/>
        </w:rPr>
      </w:pPr>
      <w:r>
        <w:rPr>
          <w:rFonts w:eastAsia="Arial"/>
          <w:lang w:val="x-none" w:eastAsia="x-none"/>
        </w:rPr>
        <w:t>Izvještaj o korištenju sredstava fondova Europske unije za jedinice lokalne i područne (regionalne) samouprave sadrži podatke o evidentiranim prihodima i primicima te rashodima i</w:t>
      </w:r>
      <w:r>
        <w:rPr>
          <w:rFonts w:eastAsia="Arial"/>
          <w:sz w:val="24"/>
          <w:szCs w:val="24"/>
          <w:lang w:val="x-none" w:eastAsia="x-none"/>
        </w:rPr>
        <w:t xml:space="preserve"> </w:t>
      </w:r>
      <w:r>
        <w:rPr>
          <w:rFonts w:eastAsia="Arial"/>
          <w:lang w:val="x-none" w:eastAsia="x-none"/>
        </w:rPr>
        <w:t>izdacima iz fondova Europske unije za proračunsku godinu po fondovima Europske unije i stanje obveza i potraživanja po sredstvima iz fondova Europske unije na kraju proračunske godine.</w:t>
      </w:r>
    </w:p>
    <w:p w14:paraId="70E1E2B8" w14:textId="28AD18DA" w:rsidR="007C5DB6" w:rsidRPr="006522F2" w:rsidRDefault="00793264" w:rsidP="006522F2">
      <w:pPr>
        <w:rPr>
          <w:color w:val="2C363A"/>
          <w:lang w:eastAsia="hr-HR"/>
        </w:rPr>
      </w:pPr>
      <w:r w:rsidRPr="006522F2">
        <w:t xml:space="preserve">U izvještajnom razdoblju </w:t>
      </w:r>
      <w:r w:rsidR="00400E58" w:rsidRPr="006522F2">
        <w:t>je ugovorena dodjela bespovratnih sredstava</w:t>
      </w:r>
      <w:r w:rsidR="006522F2" w:rsidRPr="006522F2">
        <w:t xml:space="preserve"> sa Ministarstvom znanosti i obrazovanja u okviru Nacionalnog plana oporavka i otpornosti RH</w:t>
      </w:r>
      <w:r w:rsidR="00400E58" w:rsidRPr="006522F2">
        <w:t xml:space="preserve"> </w:t>
      </w:r>
      <w:r w:rsidR="00400E58" w:rsidRPr="006522F2">
        <w:rPr>
          <w:color w:val="2C363A"/>
        </w:rPr>
        <w:t xml:space="preserve">NPOO.C3.1.R1-I1.02.0099 – Izgradnja i opremanje </w:t>
      </w:r>
      <w:r w:rsidR="006522F2" w:rsidRPr="006522F2">
        <w:rPr>
          <w:color w:val="2C363A"/>
        </w:rPr>
        <w:t xml:space="preserve">ustanova za predškolski odgoj i obrazovanje – matični vrtić na području općine Štrigova u maksimalnom iznosu prihvatljivih troškova u visini 764.484,00 eura. </w:t>
      </w:r>
    </w:p>
    <w:p w14:paraId="5389D10C" w14:textId="77777777" w:rsidR="00CD3C28" w:rsidRDefault="00CD3C28">
      <w:pPr>
        <w:jc w:val="both"/>
        <w:rPr>
          <w:b/>
          <w:bCs/>
        </w:rPr>
      </w:pPr>
    </w:p>
    <w:p w14:paraId="2569E372" w14:textId="698FFA7F" w:rsidR="00102257" w:rsidRDefault="00102257">
      <w:pPr>
        <w:jc w:val="both"/>
        <w:rPr>
          <w:b/>
          <w:bCs/>
        </w:rPr>
      </w:pPr>
      <w:r w:rsidRPr="00E32AF9">
        <w:rPr>
          <w:b/>
          <w:bCs/>
        </w:rPr>
        <w:t>8. IZVJEŠTAJ O DANIM ZAJMOVIMA I POTRAŽIVANJIMA PO DANIM ZAJMOVIMA</w:t>
      </w:r>
    </w:p>
    <w:p w14:paraId="2FC8008E" w14:textId="5A3FAE16" w:rsidR="00E32AF9" w:rsidRDefault="00E32AF9">
      <w:pPr>
        <w:jc w:val="both"/>
        <w:rPr>
          <w:b/>
          <w:bCs/>
        </w:rPr>
      </w:pPr>
      <w:r>
        <w:t>Tijekom 202</w:t>
      </w:r>
      <w:r w:rsidR="00AC1349">
        <w:t>4</w:t>
      </w:r>
      <w:r>
        <w:t>. godine Općina Štrigova nije davala zajmove iz proračunskih sredstava, pa tako ni nema evidentiranih potraživanja po toj osnovi.</w:t>
      </w:r>
    </w:p>
    <w:p w14:paraId="6310EBBD" w14:textId="77777777" w:rsidR="00CD3C28" w:rsidRDefault="00CD3C28">
      <w:pPr>
        <w:jc w:val="both"/>
        <w:rPr>
          <w:rFonts w:cstheme="minorHAnsi"/>
          <w:b/>
          <w:bCs/>
        </w:rPr>
      </w:pPr>
      <w:bookmarkStart w:id="9" w:name="_Hlk193268232"/>
    </w:p>
    <w:p w14:paraId="0BFC2BDE" w14:textId="69259D50" w:rsidR="00E32AF9" w:rsidRDefault="00E32AF9">
      <w:pPr>
        <w:jc w:val="both"/>
        <w:rPr>
          <w:rFonts w:cstheme="minorHAnsi"/>
          <w:b/>
          <w:bCs/>
        </w:rPr>
      </w:pPr>
      <w:r w:rsidRPr="00E32AF9">
        <w:rPr>
          <w:rFonts w:cstheme="minorHAnsi"/>
          <w:b/>
          <w:bCs/>
        </w:rPr>
        <w:t>9. IZVJEŠTAJ O STANJU POTRAŽIVANJA I DOSPJELIH OBVEZA TE O STANJU POTENCIJALNIH OBVEZA PO OSNOVI SUDSKIH SPOROVA</w:t>
      </w:r>
    </w:p>
    <w:p w14:paraId="319D9893" w14:textId="3606A5FA" w:rsidR="00E629CB" w:rsidRPr="00E629CB" w:rsidRDefault="00E629CB" w:rsidP="00E629CB">
      <w:pPr>
        <w:jc w:val="both"/>
        <w:rPr>
          <w:rFonts w:ascii="Calibri" w:eastAsia="Times New Roman" w:hAnsi="Calibri" w:cs="Times New Roman"/>
        </w:rPr>
      </w:pPr>
      <w:r w:rsidRPr="00E629CB">
        <w:rPr>
          <w:rFonts w:ascii="Calibri" w:eastAsia="Times New Roman" w:hAnsi="Calibri" w:cs="Times New Roman"/>
        </w:rPr>
        <w:t>Stanje nenaplaćenih potraživanja na dan 31.12.202</w:t>
      </w:r>
      <w:r w:rsidR="007D1DE2">
        <w:rPr>
          <w:rFonts w:ascii="Calibri" w:eastAsia="Times New Roman" w:hAnsi="Calibri" w:cs="Times New Roman"/>
        </w:rPr>
        <w:t>4</w:t>
      </w:r>
      <w:r w:rsidRPr="00E629CB">
        <w:rPr>
          <w:rFonts w:ascii="Calibri" w:eastAsia="Times New Roman" w:hAnsi="Calibri" w:cs="Times New Roman"/>
        </w:rPr>
        <w:t xml:space="preserve">. iznosi  </w:t>
      </w:r>
      <w:r w:rsidR="007D1DE2">
        <w:rPr>
          <w:rFonts w:ascii="Calibri" w:eastAsia="Times New Roman" w:hAnsi="Calibri" w:cs="Times New Roman"/>
        </w:rPr>
        <w:t>134.374,05</w:t>
      </w:r>
      <w:r w:rsidR="005A296F">
        <w:rPr>
          <w:rFonts w:ascii="Calibri" w:eastAsia="Times New Roman" w:hAnsi="Calibri" w:cs="Times New Roman"/>
        </w:rPr>
        <w:t xml:space="preserve"> eura, a odnose se na: p</w:t>
      </w:r>
      <w:r w:rsidR="005F0FD4">
        <w:rPr>
          <w:rFonts w:ascii="Calibri" w:eastAsia="Times New Roman" w:hAnsi="Calibri" w:cs="Times New Roman"/>
        </w:rPr>
        <w:t xml:space="preserve">otraživanja za poreze </w:t>
      </w:r>
      <w:r w:rsidR="007D1DE2">
        <w:rPr>
          <w:rFonts w:ascii="Calibri" w:eastAsia="Times New Roman" w:hAnsi="Calibri" w:cs="Times New Roman"/>
        </w:rPr>
        <w:t>21.551,26</w:t>
      </w:r>
      <w:r w:rsidR="005F0FD4">
        <w:rPr>
          <w:rFonts w:ascii="Calibri" w:eastAsia="Times New Roman" w:hAnsi="Calibri" w:cs="Times New Roman"/>
        </w:rPr>
        <w:t xml:space="preserve"> eura, potraživanja za prihode od imovine</w:t>
      </w:r>
      <w:r w:rsidR="005A296F">
        <w:rPr>
          <w:rFonts w:ascii="Calibri" w:eastAsia="Times New Roman" w:hAnsi="Calibri" w:cs="Times New Roman"/>
        </w:rPr>
        <w:t xml:space="preserve"> </w:t>
      </w:r>
      <w:r w:rsidR="007D1DE2">
        <w:rPr>
          <w:rFonts w:ascii="Calibri" w:eastAsia="Times New Roman" w:hAnsi="Calibri" w:cs="Times New Roman"/>
        </w:rPr>
        <w:t>2.472,38</w:t>
      </w:r>
      <w:r w:rsidR="005F0FD4">
        <w:rPr>
          <w:rFonts w:ascii="Calibri" w:eastAsia="Times New Roman" w:hAnsi="Calibri" w:cs="Times New Roman"/>
        </w:rPr>
        <w:t xml:space="preserve"> eura, potraživanja za upravne i administrativne pristojbe</w:t>
      </w:r>
      <w:r w:rsidR="005A296F">
        <w:rPr>
          <w:rFonts w:ascii="Calibri" w:eastAsia="Times New Roman" w:hAnsi="Calibri" w:cs="Times New Roman"/>
        </w:rPr>
        <w:t>, pristojbe po posebnim propisima i naknade 10</w:t>
      </w:r>
      <w:r w:rsidR="007D1DE2">
        <w:rPr>
          <w:rFonts w:ascii="Calibri" w:eastAsia="Times New Roman" w:hAnsi="Calibri" w:cs="Times New Roman"/>
        </w:rPr>
        <w:t>7.216,94</w:t>
      </w:r>
      <w:r w:rsidR="005A296F">
        <w:rPr>
          <w:rFonts w:ascii="Calibri" w:eastAsia="Times New Roman" w:hAnsi="Calibri" w:cs="Times New Roman"/>
        </w:rPr>
        <w:t xml:space="preserve"> eura, potraživanja za prihode od prodaje proizvoda i robe te pruženih usluga </w:t>
      </w:r>
      <w:r w:rsidR="007D1DE2">
        <w:rPr>
          <w:rFonts w:ascii="Calibri" w:eastAsia="Times New Roman" w:hAnsi="Calibri" w:cs="Times New Roman"/>
        </w:rPr>
        <w:t>705,00</w:t>
      </w:r>
      <w:r w:rsidR="005F0FD4">
        <w:rPr>
          <w:rFonts w:ascii="Calibri" w:eastAsia="Times New Roman" w:hAnsi="Calibri" w:cs="Times New Roman"/>
        </w:rPr>
        <w:t xml:space="preserve"> </w:t>
      </w:r>
      <w:r w:rsidR="005A296F">
        <w:rPr>
          <w:rFonts w:ascii="Calibri" w:eastAsia="Times New Roman" w:hAnsi="Calibri" w:cs="Times New Roman"/>
        </w:rPr>
        <w:t xml:space="preserve">eura i potraživanja od prodaje nefinancijske imovine 2.428,47 eura.  </w:t>
      </w:r>
      <w:r w:rsidR="005F0FD4">
        <w:rPr>
          <w:rFonts w:ascii="Calibri" w:eastAsia="Times New Roman" w:hAnsi="Calibri" w:cs="Times New Roman"/>
        </w:rPr>
        <w:t xml:space="preserve">  </w:t>
      </w:r>
    </w:p>
    <w:p w14:paraId="305ECB82" w14:textId="34C6B29C" w:rsidR="00E629CB" w:rsidRPr="00E629CB" w:rsidRDefault="00E629CB" w:rsidP="00E629CB">
      <w:pPr>
        <w:jc w:val="both"/>
        <w:rPr>
          <w:rFonts w:ascii="Calibri" w:eastAsia="Times New Roman" w:hAnsi="Calibri" w:cs="Times New Roman"/>
        </w:rPr>
      </w:pPr>
      <w:r w:rsidRPr="00E629CB">
        <w:rPr>
          <w:rFonts w:ascii="Calibri" w:eastAsia="Times New Roman" w:hAnsi="Calibri" w:cs="Times New Roman"/>
        </w:rPr>
        <w:lastRenderedPageBreak/>
        <w:t>Nepodmirene dospjele obveze na dan 31.12.202</w:t>
      </w:r>
      <w:r w:rsidR="00F4140D">
        <w:rPr>
          <w:rFonts w:ascii="Calibri" w:eastAsia="Times New Roman" w:hAnsi="Calibri" w:cs="Times New Roman"/>
        </w:rPr>
        <w:t>4</w:t>
      </w:r>
      <w:r w:rsidRPr="00E629CB">
        <w:rPr>
          <w:rFonts w:ascii="Calibri" w:eastAsia="Times New Roman" w:hAnsi="Calibri" w:cs="Times New Roman"/>
        </w:rPr>
        <w:t xml:space="preserve">. iznose </w:t>
      </w:r>
      <w:r w:rsidR="00F4140D">
        <w:rPr>
          <w:rFonts w:ascii="Calibri" w:eastAsia="Times New Roman" w:hAnsi="Calibri" w:cs="Times New Roman"/>
        </w:rPr>
        <w:t>97,44</w:t>
      </w:r>
      <w:r w:rsidR="005A296F">
        <w:rPr>
          <w:rFonts w:ascii="Calibri" w:eastAsia="Times New Roman" w:hAnsi="Calibri" w:cs="Times New Roman"/>
        </w:rPr>
        <w:t xml:space="preserve"> eura</w:t>
      </w:r>
      <w:r w:rsidRPr="00E629CB">
        <w:rPr>
          <w:rFonts w:ascii="Calibri" w:eastAsia="Times New Roman" w:hAnsi="Calibri" w:cs="Times New Roman"/>
        </w:rPr>
        <w:t>.</w:t>
      </w:r>
    </w:p>
    <w:p w14:paraId="2A2C4AB7" w14:textId="77777777" w:rsidR="00E629CB" w:rsidRPr="00E629CB" w:rsidRDefault="00E629CB" w:rsidP="005F0FD4">
      <w:pPr>
        <w:jc w:val="both"/>
        <w:rPr>
          <w:rFonts w:ascii="Calibri" w:eastAsia="Times New Roman" w:hAnsi="Calibri" w:cs="Times New Roman"/>
        </w:rPr>
      </w:pPr>
      <w:r w:rsidRPr="00E629CB">
        <w:rPr>
          <w:rFonts w:ascii="Calibri" w:eastAsia="Times New Roman" w:hAnsi="Calibri" w:cs="Times New Roman"/>
        </w:rPr>
        <w:t>Stanje potencijalnih obveza po osnovi sudskih postupaka – u izvještajnom razdoblju Općina Štrigova nije imala obveze po osnovi sudskih sporova.</w:t>
      </w:r>
      <w:r w:rsidRPr="00E629CB">
        <w:rPr>
          <w:rFonts w:ascii="Calibri" w:eastAsia="Times New Roman" w:hAnsi="Calibri" w:cs="Times New Roman"/>
        </w:rPr>
        <w:tab/>
      </w:r>
    </w:p>
    <w:bookmarkEnd w:id="9"/>
    <w:p w14:paraId="06FD6C8A" w14:textId="77777777" w:rsidR="00E629CB" w:rsidRPr="00E629CB" w:rsidRDefault="00E629CB" w:rsidP="00E629CB">
      <w:pPr>
        <w:jc w:val="both"/>
        <w:rPr>
          <w:rFonts w:ascii="Calibri" w:eastAsia="Times New Roman" w:hAnsi="Calibri" w:cs="Times New Roman"/>
          <w:b/>
          <w:bCs/>
        </w:rPr>
      </w:pPr>
    </w:p>
    <w:p w14:paraId="31B5C34F" w14:textId="77777777" w:rsidR="00E32AF9" w:rsidRPr="00E32AF9" w:rsidRDefault="00E32AF9">
      <w:pPr>
        <w:jc w:val="both"/>
        <w:rPr>
          <w:rFonts w:cstheme="minorHAnsi"/>
        </w:rPr>
      </w:pPr>
    </w:p>
    <w:bookmarkEnd w:id="0"/>
    <w:bookmarkEnd w:id="6"/>
    <w:bookmarkEnd w:id="7"/>
    <w:bookmarkEnd w:id="8"/>
    <w:p w14:paraId="010DB8C9" w14:textId="7E5A8CA7" w:rsidR="005A296F" w:rsidRDefault="00BB133C" w:rsidP="00CD3C28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OPĆINSKI NAČELNIK</w:t>
      </w:r>
    </w:p>
    <w:p w14:paraId="6B57146D" w14:textId="6BD20E1C" w:rsidR="00BB133C" w:rsidRPr="00CD3C28" w:rsidRDefault="00BB133C" w:rsidP="00CD3C28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Stanislav </w:t>
      </w:r>
      <w:proofErr w:type="spellStart"/>
      <w:r>
        <w:rPr>
          <w:rFonts w:cstheme="minorHAnsi"/>
        </w:rPr>
        <w:t>Rebernik</w:t>
      </w:r>
      <w:proofErr w:type="spellEnd"/>
    </w:p>
    <w:sectPr w:rsidR="00BB133C" w:rsidRPr="00CD3C28">
      <w:footerReference w:type="default" r:id="rId10"/>
      <w:pgSz w:w="16838" w:h="11906" w:orient="landscape"/>
      <w:pgMar w:top="993" w:right="993" w:bottom="284" w:left="1134" w:header="454" w:footer="45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68A7" w14:textId="77777777" w:rsidR="0079245C" w:rsidRDefault="0079245C">
      <w:pPr>
        <w:spacing w:line="240" w:lineRule="auto"/>
      </w:pPr>
      <w:r>
        <w:separator/>
      </w:r>
    </w:p>
  </w:endnote>
  <w:endnote w:type="continuationSeparator" w:id="0">
    <w:p w14:paraId="7A08DDCD" w14:textId="77777777" w:rsidR="0079245C" w:rsidRDefault="00792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AEA0" w14:textId="77777777" w:rsidR="001C4242" w:rsidRDefault="00000000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  <w:p w14:paraId="2C4BF4FC" w14:textId="77777777" w:rsidR="001C4242" w:rsidRDefault="001C42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A119" w14:textId="77777777" w:rsidR="0079245C" w:rsidRDefault="0079245C">
      <w:pPr>
        <w:spacing w:after="0"/>
      </w:pPr>
      <w:r>
        <w:separator/>
      </w:r>
    </w:p>
  </w:footnote>
  <w:footnote w:type="continuationSeparator" w:id="0">
    <w:p w14:paraId="28406267" w14:textId="77777777" w:rsidR="0079245C" w:rsidRDefault="007924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C5D09"/>
    <w:multiLevelType w:val="multilevel"/>
    <w:tmpl w:val="5E9C5D09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2112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57"/>
    <w:rsid w:val="00000659"/>
    <w:rsid w:val="000015E8"/>
    <w:rsid w:val="0000172D"/>
    <w:rsid w:val="00001C4E"/>
    <w:rsid w:val="0001002D"/>
    <w:rsid w:val="00014E78"/>
    <w:rsid w:val="00017082"/>
    <w:rsid w:val="00027733"/>
    <w:rsid w:val="000338B9"/>
    <w:rsid w:val="00034951"/>
    <w:rsid w:val="00042EED"/>
    <w:rsid w:val="00044FDF"/>
    <w:rsid w:val="00047734"/>
    <w:rsid w:val="00053FAA"/>
    <w:rsid w:val="00061AC0"/>
    <w:rsid w:val="000646C4"/>
    <w:rsid w:val="00065746"/>
    <w:rsid w:val="0007379F"/>
    <w:rsid w:val="00080A43"/>
    <w:rsid w:val="000813D4"/>
    <w:rsid w:val="000921D2"/>
    <w:rsid w:val="0009291C"/>
    <w:rsid w:val="00096C11"/>
    <w:rsid w:val="00097D04"/>
    <w:rsid w:val="000A405F"/>
    <w:rsid w:val="000A50A6"/>
    <w:rsid w:val="000B35BF"/>
    <w:rsid w:val="000B3EA1"/>
    <w:rsid w:val="000B7094"/>
    <w:rsid w:val="000D6E68"/>
    <w:rsid w:val="000D7EDC"/>
    <w:rsid w:val="000E45F0"/>
    <w:rsid w:val="000F037B"/>
    <w:rsid w:val="000F03E5"/>
    <w:rsid w:val="000F0D6F"/>
    <w:rsid w:val="00100704"/>
    <w:rsid w:val="00102257"/>
    <w:rsid w:val="0010485F"/>
    <w:rsid w:val="00104FAC"/>
    <w:rsid w:val="00106614"/>
    <w:rsid w:val="00111998"/>
    <w:rsid w:val="00113629"/>
    <w:rsid w:val="00114E8D"/>
    <w:rsid w:val="001227D8"/>
    <w:rsid w:val="00132B29"/>
    <w:rsid w:val="00135149"/>
    <w:rsid w:val="001356FD"/>
    <w:rsid w:val="00137FF7"/>
    <w:rsid w:val="001427E7"/>
    <w:rsid w:val="00151E55"/>
    <w:rsid w:val="001523C8"/>
    <w:rsid w:val="00152BFE"/>
    <w:rsid w:val="001629E8"/>
    <w:rsid w:val="00163906"/>
    <w:rsid w:val="0016457C"/>
    <w:rsid w:val="00164919"/>
    <w:rsid w:val="00177B59"/>
    <w:rsid w:val="00177E3D"/>
    <w:rsid w:val="001801CF"/>
    <w:rsid w:val="00184B3D"/>
    <w:rsid w:val="001853EA"/>
    <w:rsid w:val="001A5ACF"/>
    <w:rsid w:val="001A6BE9"/>
    <w:rsid w:val="001B3228"/>
    <w:rsid w:val="001B407F"/>
    <w:rsid w:val="001B486C"/>
    <w:rsid w:val="001B4DDC"/>
    <w:rsid w:val="001C4242"/>
    <w:rsid w:val="001C5DCD"/>
    <w:rsid w:val="001C7D89"/>
    <w:rsid w:val="001D05E3"/>
    <w:rsid w:val="001F477B"/>
    <w:rsid w:val="001F4F37"/>
    <w:rsid w:val="001F5477"/>
    <w:rsid w:val="0020095F"/>
    <w:rsid w:val="00201324"/>
    <w:rsid w:val="002028C7"/>
    <w:rsid w:val="00204CE4"/>
    <w:rsid w:val="002146C9"/>
    <w:rsid w:val="00214778"/>
    <w:rsid w:val="00214D24"/>
    <w:rsid w:val="00221E71"/>
    <w:rsid w:val="00222B3A"/>
    <w:rsid w:val="00232236"/>
    <w:rsid w:val="00242B73"/>
    <w:rsid w:val="00243908"/>
    <w:rsid w:val="002469AE"/>
    <w:rsid w:val="00247517"/>
    <w:rsid w:val="002507B0"/>
    <w:rsid w:val="00265EE0"/>
    <w:rsid w:val="00272F22"/>
    <w:rsid w:val="0027486A"/>
    <w:rsid w:val="00281338"/>
    <w:rsid w:val="00281A7E"/>
    <w:rsid w:val="00287D69"/>
    <w:rsid w:val="002914D0"/>
    <w:rsid w:val="002928E5"/>
    <w:rsid w:val="002A1522"/>
    <w:rsid w:val="002A35EB"/>
    <w:rsid w:val="002A44E5"/>
    <w:rsid w:val="002A4B52"/>
    <w:rsid w:val="002C6C4B"/>
    <w:rsid w:val="002C78B3"/>
    <w:rsid w:val="002D110C"/>
    <w:rsid w:val="002E614C"/>
    <w:rsid w:val="002F37B4"/>
    <w:rsid w:val="002F6385"/>
    <w:rsid w:val="00306C9D"/>
    <w:rsid w:val="00306DD2"/>
    <w:rsid w:val="00307742"/>
    <w:rsid w:val="00307AF7"/>
    <w:rsid w:val="00314ED6"/>
    <w:rsid w:val="00320CE8"/>
    <w:rsid w:val="0032189D"/>
    <w:rsid w:val="00330726"/>
    <w:rsid w:val="00330E53"/>
    <w:rsid w:val="003339CE"/>
    <w:rsid w:val="003371DD"/>
    <w:rsid w:val="0034051F"/>
    <w:rsid w:val="00340B3C"/>
    <w:rsid w:val="00347415"/>
    <w:rsid w:val="00356CD2"/>
    <w:rsid w:val="00356CF7"/>
    <w:rsid w:val="00362731"/>
    <w:rsid w:val="00372EFC"/>
    <w:rsid w:val="00376581"/>
    <w:rsid w:val="00376A88"/>
    <w:rsid w:val="00377E0E"/>
    <w:rsid w:val="00385402"/>
    <w:rsid w:val="00385E18"/>
    <w:rsid w:val="00385FA4"/>
    <w:rsid w:val="003901ED"/>
    <w:rsid w:val="00393F25"/>
    <w:rsid w:val="00393F44"/>
    <w:rsid w:val="00396133"/>
    <w:rsid w:val="00397F5A"/>
    <w:rsid w:val="003A0D86"/>
    <w:rsid w:val="003A1231"/>
    <w:rsid w:val="003A5F37"/>
    <w:rsid w:val="003A71B2"/>
    <w:rsid w:val="003A794B"/>
    <w:rsid w:val="003B0C97"/>
    <w:rsid w:val="003C01EA"/>
    <w:rsid w:val="003D2508"/>
    <w:rsid w:val="003D47D4"/>
    <w:rsid w:val="003D5E35"/>
    <w:rsid w:val="003E0BCF"/>
    <w:rsid w:val="003E272E"/>
    <w:rsid w:val="003E41C4"/>
    <w:rsid w:val="003E5056"/>
    <w:rsid w:val="003E655A"/>
    <w:rsid w:val="003F0E5B"/>
    <w:rsid w:val="003F2FFC"/>
    <w:rsid w:val="003F44F3"/>
    <w:rsid w:val="003F70F0"/>
    <w:rsid w:val="00400E58"/>
    <w:rsid w:val="004073C6"/>
    <w:rsid w:val="0041579F"/>
    <w:rsid w:val="00424219"/>
    <w:rsid w:val="0043729A"/>
    <w:rsid w:val="00440A17"/>
    <w:rsid w:val="00441D4A"/>
    <w:rsid w:val="004421E9"/>
    <w:rsid w:val="00452CDE"/>
    <w:rsid w:val="004600A0"/>
    <w:rsid w:val="00460EBB"/>
    <w:rsid w:val="00466967"/>
    <w:rsid w:val="0046697C"/>
    <w:rsid w:val="004710A4"/>
    <w:rsid w:val="00482F82"/>
    <w:rsid w:val="0048502E"/>
    <w:rsid w:val="004921E7"/>
    <w:rsid w:val="00493BB9"/>
    <w:rsid w:val="004A13D3"/>
    <w:rsid w:val="004A257E"/>
    <w:rsid w:val="004A6CA1"/>
    <w:rsid w:val="004B3429"/>
    <w:rsid w:val="004C207F"/>
    <w:rsid w:val="004C31AD"/>
    <w:rsid w:val="004C3E59"/>
    <w:rsid w:val="004C4CFF"/>
    <w:rsid w:val="004C52CE"/>
    <w:rsid w:val="004C6233"/>
    <w:rsid w:val="004D6758"/>
    <w:rsid w:val="004D70DC"/>
    <w:rsid w:val="004E27D8"/>
    <w:rsid w:val="004E4E68"/>
    <w:rsid w:val="00502A92"/>
    <w:rsid w:val="00510590"/>
    <w:rsid w:val="00513E66"/>
    <w:rsid w:val="00517D33"/>
    <w:rsid w:val="005220CD"/>
    <w:rsid w:val="00522D38"/>
    <w:rsid w:val="00523A42"/>
    <w:rsid w:val="00525F6F"/>
    <w:rsid w:val="00526D1A"/>
    <w:rsid w:val="0053427F"/>
    <w:rsid w:val="005342D4"/>
    <w:rsid w:val="0053457A"/>
    <w:rsid w:val="0054784A"/>
    <w:rsid w:val="005501E4"/>
    <w:rsid w:val="00552F8B"/>
    <w:rsid w:val="005606A7"/>
    <w:rsid w:val="00561CE8"/>
    <w:rsid w:val="00563013"/>
    <w:rsid w:val="00577449"/>
    <w:rsid w:val="00583875"/>
    <w:rsid w:val="00584D5D"/>
    <w:rsid w:val="00585672"/>
    <w:rsid w:val="00587FF8"/>
    <w:rsid w:val="00592249"/>
    <w:rsid w:val="0059260B"/>
    <w:rsid w:val="005A20CA"/>
    <w:rsid w:val="005A296F"/>
    <w:rsid w:val="005A30DA"/>
    <w:rsid w:val="005C3E10"/>
    <w:rsid w:val="005C5B5F"/>
    <w:rsid w:val="005D68D4"/>
    <w:rsid w:val="005E11E5"/>
    <w:rsid w:val="005E1B75"/>
    <w:rsid w:val="005E2FD7"/>
    <w:rsid w:val="005F0FD4"/>
    <w:rsid w:val="005F728E"/>
    <w:rsid w:val="005F74BC"/>
    <w:rsid w:val="0060643D"/>
    <w:rsid w:val="0061045B"/>
    <w:rsid w:val="00610FBE"/>
    <w:rsid w:val="006145ED"/>
    <w:rsid w:val="006178BE"/>
    <w:rsid w:val="006201B0"/>
    <w:rsid w:val="00625EEC"/>
    <w:rsid w:val="006322D4"/>
    <w:rsid w:val="0064604A"/>
    <w:rsid w:val="00650807"/>
    <w:rsid w:val="006512DE"/>
    <w:rsid w:val="006522F2"/>
    <w:rsid w:val="006560EC"/>
    <w:rsid w:val="00661D71"/>
    <w:rsid w:val="00666C2A"/>
    <w:rsid w:val="0066768D"/>
    <w:rsid w:val="006716E0"/>
    <w:rsid w:val="00671DA0"/>
    <w:rsid w:val="006803BE"/>
    <w:rsid w:val="00680E10"/>
    <w:rsid w:val="00694213"/>
    <w:rsid w:val="00696FA0"/>
    <w:rsid w:val="006A057B"/>
    <w:rsid w:val="006A3185"/>
    <w:rsid w:val="006B2D49"/>
    <w:rsid w:val="006B3325"/>
    <w:rsid w:val="006B3354"/>
    <w:rsid w:val="006B4CD1"/>
    <w:rsid w:val="006B5580"/>
    <w:rsid w:val="006B619C"/>
    <w:rsid w:val="006B63C6"/>
    <w:rsid w:val="006C0B4B"/>
    <w:rsid w:val="006C59D1"/>
    <w:rsid w:val="006E715F"/>
    <w:rsid w:val="006F1D79"/>
    <w:rsid w:val="006F5388"/>
    <w:rsid w:val="007016AD"/>
    <w:rsid w:val="00701E8C"/>
    <w:rsid w:val="00702A6A"/>
    <w:rsid w:val="00704CBC"/>
    <w:rsid w:val="007102F4"/>
    <w:rsid w:val="0071382E"/>
    <w:rsid w:val="007177D2"/>
    <w:rsid w:val="0072030B"/>
    <w:rsid w:val="00720A29"/>
    <w:rsid w:val="0072276D"/>
    <w:rsid w:val="00723CD9"/>
    <w:rsid w:val="0072515C"/>
    <w:rsid w:val="00732782"/>
    <w:rsid w:val="00732BC1"/>
    <w:rsid w:val="007407BF"/>
    <w:rsid w:val="007411F5"/>
    <w:rsid w:val="007425DA"/>
    <w:rsid w:val="00747A20"/>
    <w:rsid w:val="0075311A"/>
    <w:rsid w:val="00753759"/>
    <w:rsid w:val="00756DFD"/>
    <w:rsid w:val="0077369E"/>
    <w:rsid w:val="0077612D"/>
    <w:rsid w:val="00777C75"/>
    <w:rsid w:val="0078222F"/>
    <w:rsid w:val="00785923"/>
    <w:rsid w:val="00786115"/>
    <w:rsid w:val="00791116"/>
    <w:rsid w:val="0079245C"/>
    <w:rsid w:val="00793264"/>
    <w:rsid w:val="0079513A"/>
    <w:rsid w:val="00795A22"/>
    <w:rsid w:val="007971B3"/>
    <w:rsid w:val="007A29EF"/>
    <w:rsid w:val="007A7FB5"/>
    <w:rsid w:val="007B26EF"/>
    <w:rsid w:val="007B39D2"/>
    <w:rsid w:val="007B404B"/>
    <w:rsid w:val="007B6F0E"/>
    <w:rsid w:val="007B7126"/>
    <w:rsid w:val="007C5110"/>
    <w:rsid w:val="007C5229"/>
    <w:rsid w:val="007C5DB6"/>
    <w:rsid w:val="007D1DE2"/>
    <w:rsid w:val="007F5D23"/>
    <w:rsid w:val="0080065D"/>
    <w:rsid w:val="008026CA"/>
    <w:rsid w:val="00805029"/>
    <w:rsid w:val="008078A5"/>
    <w:rsid w:val="00813696"/>
    <w:rsid w:val="00813A70"/>
    <w:rsid w:val="008229C5"/>
    <w:rsid w:val="00825B2C"/>
    <w:rsid w:val="00830C41"/>
    <w:rsid w:val="00833ABF"/>
    <w:rsid w:val="00834B4F"/>
    <w:rsid w:val="00836F7D"/>
    <w:rsid w:val="00841C86"/>
    <w:rsid w:val="008446D8"/>
    <w:rsid w:val="008471A5"/>
    <w:rsid w:val="008546F0"/>
    <w:rsid w:val="00854C29"/>
    <w:rsid w:val="008636B6"/>
    <w:rsid w:val="008649B9"/>
    <w:rsid w:val="00865A77"/>
    <w:rsid w:val="00865CD2"/>
    <w:rsid w:val="0087125D"/>
    <w:rsid w:val="00871D40"/>
    <w:rsid w:val="00872E0F"/>
    <w:rsid w:val="00873031"/>
    <w:rsid w:val="00873D2F"/>
    <w:rsid w:val="00874779"/>
    <w:rsid w:val="00874CFA"/>
    <w:rsid w:val="0087621C"/>
    <w:rsid w:val="0088465B"/>
    <w:rsid w:val="0089050B"/>
    <w:rsid w:val="0089059E"/>
    <w:rsid w:val="00897521"/>
    <w:rsid w:val="008A74C1"/>
    <w:rsid w:val="008B1F85"/>
    <w:rsid w:val="008B3C1F"/>
    <w:rsid w:val="008D3062"/>
    <w:rsid w:val="008D64FA"/>
    <w:rsid w:val="008F18DF"/>
    <w:rsid w:val="008F1A3A"/>
    <w:rsid w:val="009333E5"/>
    <w:rsid w:val="00934F83"/>
    <w:rsid w:val="00936184"/>
    <w:rsid w:val="00937657"/>
    <w:rsid w:val="009447AE"/>
    <w:rsid w:val="0095179B"/>
    <w:rsid w:val="00961099"/>
    <w:rsid w:val="009638B8"/>
    <w:rsid w:val="00970F88"/>
    <w:rsid w:val="00977B32"/>
    <w:rsid w:val="009806EE"/>
    <w:rsid w:val="00983C57"/>
    <w:rsid w:val="00995AD5"/>
    <w:rsid w:val="00996C10"/>
    <w:rsid w:val="009A55FC"/>
    <w:rsid w:val="009A599C"/>
    <w:rsid w:val="009B184A"/>
    <w:rsid w:val="009B39A8"/>
    <w:rsid w:val="009B510A"/>
    <w:rsid w:val="009B55C6"/>
    <w:rsid w:val="009C224A"/>
    <w:rsid w:val="009C735B"/>
    <w:rsid w:val="009D14B9"/>
    <w:rsid w:val="009F099C"/>
    <w:rsid w:val="009F0B93"/>
    <w:rsid w:val="009F14B9"/>
    <w:rsid w:val="00A01524"/>
    <w:rsid w:val="00A04AF2"/>
    <w:rsid w:val="00A1113B"/>
    <w:rsid w:val="00A30076"/>
    <w:rsid w:val="00A30F8F"/>
    <w:rsid w:val="00A311C6"/>
    <w:rsid w:val="00A3323B"/>
    <w:rsid w:val="00A336CF"/>
    <w:rsid w:val="00A3608D"/>
    <w:rsid w:val="00A47C1D"/>
    <w:rsid w:val="00A54372"/>
    <w:rsid w:val="00A5467C"/>
    <w:rsid w:val="00A577CC"/>
    <w:rsid w:val="00A61B4B"/>
    <w:rsid w:val="00A64D10"/>
    <w:rsid w:val="00A73ED7"/>
    <w:rsid w:val="00A75EBA"/>
    <w:rsid w:val="00A80A79"/>
    <w:rsid w:val="00A80FB7"/>
    <w:rsid w:val="00A81044"/>
    <w:rsid w:val="00A844E2"/>
    <w:rsid w:val="00A90BC5"/>
    <w:rsid w:val="00A91B1A"/>
    <w:rsid w:val="00AA7EE9"/>
    <w:rsid w:val="00AB13CE"/>
    <w:rsid w:val="00AB66BB"/>
    <w:rsid w:val="00AC1349"/>
    <w:rsid w:val="00AC5294"/>
    <w:rsid w:val="00AD4518"/>
    <w:rsid w:val="00AE5B91"/>
    <w:rsid w:val="00AE679D"/>
    <w:rsid w:val="00AE7201"/>
    <w:rsid w:val="00AF0E98"/>
    <w:rsid w:val="00AF3FED"/>
    <w:rsid w:val="00AF4A83"/>
    <w:rsid w:val="00B0064B"/>
    <w:rsid w:val="00B03711"/>
    <w:rsid w:val="00B1210C"/>
    <w:rsid w:val="00B12988"/>
    <w:rsid w:val="00B20D34"/>
    <w:rsid w:val="00B27116"/>
    <w:rsid w:val="00B338F8"/>
    <w:rsid w:val="00B3654A"/>
    <w:rsid w:val="00B374BF"/>
    <w:rsid w:val="00B5037E"/>
    <w:rsid w:val="00B519AB"/>
    <w:rsid w:val="00B53048"/>
    <w:rsid w:val="00B56F87"/>
    <w:rsid w:val="00B61DD4"/>
    <w:rsid w:val="00B64E8B"/>
    <w:rsid w:val="00B75FB7"/>
    <w:rsid w:val="00B82835"/>
    <w:rsid w:val="00B83C5C"/>
    <w:rsid w:val="00B878B5"/>
    <w:rsid w:val="00B93138"/>
    <w:rsid w:val="00B9328B"/>
    <w:rsid w:val="00BA3922"/>
    <w:rsid w:val="00BA4A29"/>
    <w:rsid w:val="00BA6850"/>
    <w:rsid w:val="00BB035A"/>
    <w:rsid w:val="00BB133C"/>
    <w:rsid w:val="00BB39ED"/>
    <w:rsid w:val="00BB4BF2"/>
    <w:rsid w:val="00BB547D"/>
    <w:rsid w:val="00BB5C9C"/>
    <w:rsid w:val="00BB705E"/>
    <w:rsid w:val="00BC6D64"/>
    <w:rsid w:val="00BD5A05"/>
    <w:rsid w:val="00BD6AE3"/>
    <w:rsid w:val="00BE44C2"/>
    <w:rsid w:val="00BF6CAE"/>
    <w:rsid w:val="00C0213C"/>
    <w:rsid w:val="00C20022"/>
    <w:rsid w:val="00C23A41"/>
    <w:rsid w:val="00C23D22"/>
    <w:rsid w:val="00C310A7"/>
    <w:rsid w:val="00C32A7A"/>
    <w:rsid w:val="00C32ABB"/>
    <w:rsid w:val="00C34297"/>
    <w:rsid w:val="00C35702"/>
    <w:rsid w:val="00C41335"/>
    <w:rsid w:val="00C437B6"/>
    <w:rsid w:val="00C44106"/>
    <w:rsid w:val="00C45A28"/>
    <w:rsid w:val="00C47038"/>
    <w:rsid w:val="00C50537"/>
    <w:rsid w:val="00C51468"/>
    <w:rsid w:val="00C54E4A"/>
    <w:rsid w:val="00C557F1"/>
    <w:rsid w:val="00C67DA9"/>
    <w:rsid w:val="00C72227"/>
    <w:rsid w:val="00C77E7F"/>
    <w:rsid w:val="00C8457F"/>
    <w:rsid w:val="00C912AF"/>
    <w:rsid w:val="00C93130"/>
    <w:rsid w:val="00C94300"/>
    <w:rsid w:val="00CA0178"/>
    <w:rsid w:val="00CA0EB5"/>
    <w:rsid w:val="00CA19C2"/>
    <w:rsid w:val="00CD3C28"/>
    <w:rsid w:val="00CE1B4B"/>
    <w:rsid w:val="00CF3123"/>
    <w:rsid w:val="00D12FA4"/>
    <w:rsid w:val="00D13D3A"/>
    <w:rsid w:val="00D22612"/>
    <w:rsid w:val="00D22E2E"/>
    <w:rsid w:val="00D24906"/>
    <w:rsid w:val="00D26ECF"/>
    <w:rsid w:val="00D278B6"/>
    <w:rsid w:val="00D31EA5"/>
    <w:rsid w:val="00D430C5"/>
    <w:rsid w:val="00D43BBA"/>
    <w:rsid w:val="00D44A71"/>
    <w:rsid w:val="00D464BE"/>
    <w:rsid w:val="00D47923"/>
    <w:rsid w:val="00D51EE3"/>
    <w:rsid w:val="00D53D9E"/>
    <w:rsid w:val="00D540BB"/>
    <w:rsid w:val="00D55142"/>
    <w:rsid w:val="00D55F39"/>
    <w:rsid w:val="00D5678A"/>
    <w:rsid w:val="00D6202E"/>
    <w:rsid w:val="00D654E9"/>
    <w:rsid w:val="00D674CA"/>
    <w:rsid w:val="00D754EF"/>
    <w:rsid w:val="00D901D4"/>
    <w:rsid w:val="00D90E8D"/>
    <w:rsid w:val="00D91EAF"/>
    <w:rsid w:val="00D92392"/>
    <w:rsid w:val="00D94615"/>
    <w:rsid w:val="00DA507F"/>
    <w:rsid w:val="00DA5B9A"/>
    <w:rsid w:val="00DA65B5"/>
    <w:rsid w:val="00DB0B10"/>
    <w:rsid w:val="00DB1B9E"/>
    <w:rsid w:val="00DB3609"/>
    <w:rsid w:val="00DC2826"/>
    <w:rsid w:val="00DC2CF0"/>
    <w:rsid w:val="00DD3B20"/>
    <w:rsid w:val="00DE1367"/>
    <w:rsid w:val="00DE3171"/>
    <w:rsid w:val="00DE612A"/>
    <w:rsid w:val="00DF0A36"/>
    <w:rsid w:val="00DF2C9B"/>
    <w:rsid w:val="00DF2DDC"/>
    <w:rsid w:val="00E02947"/>
    <w:rsid w:val="00E104B3"/>
    <w:rsid w:val="00E11C75"/>
    <w:rsid w:val="00E2072A"/>
    <w:rsid w:val="00E3168D"/>
    <w:rsid w:val="00E32AF9"/>
    <w:rsid w:val="00E332FD"/>
    <w:rsid w:val="00E33845"/>
    <w:rsid w:val="00E41607"/>
    <w:rsid w:val="00E4662B"/>
    <w:rsid w:val="00E51A37"/>
    <w:rsid w:val="00E52667"/>
    <w:rsid w:val="00E54BEF"/>
    <w:rsid w:val="00E57A13"/>
    <w:rsid w:val="00E629CB"/>
    <w:rsid w:val="00E64511"/>
    <w:rsid w:val="00E657CF"/>
    <w:rsid w:val="00E67144"/>
    <w:rsid w:val="00E718FB"/>
    <w:rsid w:val="00E72BC8"/>
    <w:rsid w:val="00E73143"/>
    <w:rsid w:val="00E80A42"/>
    <w:rsid w:val="00E90A9B"/>
    <w:rsid w:val="00EA4954"/>
    <w:rsid w:val="00EA6727"/>
    <w:rsid w:val="00EB1FC7"/>
    <w:rsid w:val="00EB3A0F"/>
    <w:rsid w:val="00EB3FCA"/>
    <w:rsid w:val="00EB6E69"/>
    <w:rsid w:val="00EC0B55"/>
    <w:rsid w:val="00EC35EB"/>
    <w:rsid w:val="00EC4D64"/>
    <w:rsid w:val="00ED0875"/>
    <w:rsid w:val="00ED7F5A"/>
    <w:rsid w:val="00EE000C"/>
    <w:rsid w:val="00EF14B7"/>
    <w:rsid w:val="00EF4C35"/>
    <w:rsid w:val="00EF61A2"/>
    <w:rsid w:val="00F2054D"/>
    <w:rsid w:val="00F21CF2"/>
    <w:rsid w:val="00F25F1F"/>
    <w:rsid w:val="00F2701F"/>
    <w:rsid w:val="00F30E2A"/>
    <w:rsid w:val="00F31C5B"/>
    <w:rsid w:val="00F34E9A"/>
    <w:rsid w:val="00F37EB1"/>
    <w:rsid w:val="00F4140D"/>
    <w:rsid w:val="00F41DCC"/>
    <w:rsid w:val="00F42172"/>
    <w:rsid w:val="00F43411"/>
    <w:rsid w:val="00F46DC5"/>
    <w:rsid w:val="00F506F2"/>
    <w:rsid w:val="00F5363F"/>
    <w:rsid w:val="00F5649B"/>
    <w:rsid w:val="00F60B55"/>
    <w:rsid w:val="00F621D6"/>
    <w:rsid w:val="00F72F4C"/>
    <w:rsid w:val="00F81904"/>
    <w:rsid w:val="00F831DB"/>
    <w:rsid w:val="00F904DF"/>
    <w:rsid w:val="00FA2832"/>
    <w:rsid w:val="00FA6DEB"/>
    <w:rsid w:val="00FA7D64"/>
    <w:rsid w:val="00FB0F65"/>
    <w:rsid w:val="00FB1A6E"/>
    <w:rsid w:val="00FB5583"/>
    <w:rsid w:val="00FB5D68"/>
    <w:rsid w:val="00FC0393"/>
    <w:rsid w:val="00FC2A31"/>
    <w:rsid w:val="00FC47F9"/>
    <w:rsid w:val="00FC61D2"/>
    <w:rsid w:val="00FE468C"/>
    <w:rsid w:val="00FE49EF"/>
    <w:rsid w:val="00FF0F06"/>
    <w:rsid w:val="00FF24CA"/>
    <w:rsid w:val="00FF29E6"/>
    <w:rsid w:val="0F5A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E222E8"/>
  <w15:docId w15:val="{EF78D035-0D77-4369-BC32-4EFD7314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300" w:lineRule="auto"/>
    </w:pPr>
    <w:rPr>
      <w:sz w:val="21"/>
      <w:szCs w:val="21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Istaknuto">
    <w:name w:val="Emphasis"/>
    <w:basedOn w:val="Zadanifontodlomka"/>
    <w:uiPriority w:val="20"/>
    <w:qFormat/>
    <w:rPr>
      <w:i/>
      <w:iCs/>
      <w:color w:val="000000" w:themeColor="text1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pPr>
      <w:jc w:val="center"/>
    </w:pPr>
    <w:rPr>
      <w:color w:val="44546A" w:themeColor="text2"/>
      <w:sz w:val="28"/>
      <w:szCs w:val="28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Bezproreda">
    <w:name w:val="No Spacing"/>
    <w:uiPriority w:val="1"/>
    <w:qFormat/>
    <w:rPr>
      <w:sz w:val="21"/>
      <w:szCs w:val="21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b/>
      <w:bCs/>
      <w:i/>
      <w:iCs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44546A" w:themeColor="text2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595959" w:themeColor="text1" w:themeTint="A6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  <w:color w:val="auto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auto"/>
      <w:spacing w:val="0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spacing w:val="0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pPr>
      <w:outlineLvl w:val="9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customStyle="1" w:styleId="Standard">
    <w:name w:val="Standard"/>
    <w:rsid w:val="009C224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7C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34395-BBDD-4ACE-A722-8D44E0C1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4294959902</TotalTime>
  <Pages>1</Pages>
  <Words>4105</Words>
  <Characters>23402</Characters>
  <Application>Microsoft Office Word</Application>
  <DocSecurity>0</DocSecurity>
  <Lines>195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damir.kovacic100@gmail.com</dc:creator>
  <cp:lastModifiedBy>Općina Štrigova</cp:lastModifiedBy>
  <cp:revision>72</cp:revision>
  <cp:lastPrinted>2025-03-25T14:33:00Z</cp:lastPrinted>
  <dcterms:created xsi:type="dcterms:W3CDTF">2022-09-15T10:01:00Z</dcterms:created>
  <dcterms:modified xsi:type="dcterms:W3CDTF">2025-04-02T07:21:00Z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B39BE266E99D410687B590FC033883BB_12</vt:lpwstr>
  </property>
</Properties>
</file>