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61" w:rsidRDefault="00880F08">
      <w:pPr>
        <w:ind w:left="47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r-HR" w:eastAsia="hr-HR"/>
        </w:rPr>
        <w:drawing>
          <wp:inline distT="0" distB="0" distL="0" distR="0" wp14:anchorId="0085B048" wp14:editId="23C86073">
            <wp:extent cx="486151" cy="613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1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C61" w:rsidRDefault="00880F08">
      <w:pPr>
        <w:pStyle w:val="Naslov"/>
        <w:spacing w:line="297" w:lineRule="auto"/>
        <w:rPr>
          <w:i w:val="0"/>
        </w:rPr>
      </w:pPr>
      <w:r>
        <w:rPr>
          <w:i w:val="0"/>
          <w:sz w:val="18"/>
        </w:rPr>
        <w:t>REPUBLIKA HRVATSKA SPLITSKO</w:t>
      </w:r>
      <w:r>
        <w:rPr>
          <w:i w:val="0"/>
          <w:spacing w:val="-13"/>
          <w:sz w:val="18"/>
        </w:rPr>
        <w:t xml:space="preserve"> </w:t>
      </w:r>
      <w:r>
        <w:rPr>
          <w:i w:val="0"/>
          <w:sz w:val="18"/>
        </w:rPr>
        <w:t xml:space="preserve">DALMATINSKA </w:t>
      </w:r>
      <w:r>
        <w:rPr>
          <w:i w:val="0"/>
        </w:rPr>
        <w:t>OPĆINA PRGOMET</w:t>
      </w:r>
    </w:p>
    <w:p w:rsidR="00F17C61" w:rsidRDefault="00782643">
      <w:pPr>
        <w:spacing w:line="20" w:lineRule="exact"/>
        <w:ind w:left="2966"/>
        <w:rPr>
          <w:rFonts w:ascii="Arial"/>
          <w:sz w:val="2"/>
        </w:rPr>
      </w:pPr>
      <w:r>
        <w:rPr>
          <w:rFonts w:ascii="Arial"/>
          <w:noProof/>
          <w:sz w:val="2"/>
          <w:lang w:val="hr-HR" w:eastAsia="hr-HR"/>
        </w:rPr>
        <mc:AlternateContent>
          <mc:Choice Requires="wpg">
            <w:drawing>
              <wp:inline distT="0" distB="0" distL="0" distR="0" wp14:anchorId="5928DF48" wp14:editId="100AAD1B">
                <wp:extent cx="2893060" cy="1270"/>
                <wp:effectExtent l="0" t="2540" r="0" b="5715"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270"/>
                          <a:chOff x="0" y="0"/>
                          <a:chExt cx="4556" cy="2"/>
                        </a:xfrm>
                      </wpg:grpSpPr>
                      <wps:wsp>
                        <wps:cNvPr id="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CF915" id="docshapegroup7" o:spid="_x0000_s1026" style="width:227.8pt;height:.1pt;mso-position-horizontal-relative:char;mso-position-vertical-relative:line" coordsize="4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">
                <v:rect id="docshape8" o:spid="_x0000_s1027" style="position:absolute;width:4556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17C61" w:rsidRDefault="00F17C61">
      <w:pPr>
        <w:rPr>
          <w:rFonts w:ascii="Arial"/>
          <w:b/>
          <w:sz w:val="20"/>
        </w:rPr>
      </w:pPr>
    </w:p>
    <w:p w:rsidR="00A530CB" w:rsidRDefault="00A530CB">
      <w:pPr>
        <w:rPr>
          <w:rFonts w:ascii="Arial"/>
          <w:b/>
          <w:sz w:val="20"/>
        </w:rPr>
      </w:pPr>
    </w:p>
    <w:p w:rsidR="00A530CB" w:rsidRDefault="00A530CB" w:rsidP="00A530CB">
      <w:pPr>
        <w:spacing w:line="0" w:lineRule="atLeast"/>
        <w:ind w:right="400"/>
        <w:jc w:val="center"/>
        <w:rPr>
          <w:rFonts w:ascii="Arial" w:eastAsia="Arial" w:hAnsi="Arial"/>
          <w:b/>
        </w:rPr>
      </w:pPr>
    </w:p>
    <w:p w:rsidR="00A530CB" w:rsidRDefault="00A530CB" w:rsidP="00A530CB">
      <w:pPr>
        <w:spacing w:line="0" w:lineRule="atLeast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A90ED2">
        <w:rPr>
          <w:rFonts w:ascii="Times New Roman" w:hAnsi="Times New Roman" w:cs="Times New Roman"/>
          <w:spacing w:val="-4"/>
          <w:sz w:val="24"/>
          <w:szCs w:val="24"/>
        </w:rPr>
        <w:t xml:space="preserve">Na </w:t>
      </w:r>
      <w:r w:rsidRPr="00A90ED2">
        <w:rPr>
          <w:rFonts w:ascii="Times New Roman" w:hAnsi="Times New Roman" w:cs="Times New Roman"/>
          <w:sz w:val="24"/>
          <w:szCs w:val="24"/>
        </w:rPr>
        <w:t xml:space="preserve">temelju članka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A90ED2">
        <w:rPr>
          <w:rFonts w:ascii="Times New Roman" w:hAnsi="Times New Roman" w:cs="Times New Roman"/>
          <w:sz w:val="24"/>
          <w:szCs w:val="24"/>
        </w:rPr>
        <w:t xml:space="preserve">.  Zakona o komunalnom gospodarstvu (N.N. 68/18 i 110/18, 32/20),  </w:t>
      </w:r>
      <w:r w:rsidRPr="00A90ED2">
        <w:rPr>
          <w:rFonts w:ascii="Times New Roman" w:hAnsi="Times New Roman" w:cs="Times New Roman"/>
          <w:spacing w:val="-4"/>
          <w:sz w:val="24"/>
          <w:szCs w:val="24"/>
        </w:rPr>
        <w:t xml:space="preserve">odredbi </w:t>
      </w:r>
      <w:r w:rsidRPr="00A90ED2">
        <w:rPr>
          <w:rFonts w:ascii="Times New Roman" w:hAnsi="Times New Roman" w:cs="Times New Roman"/>
          <w:sz w:val="24"/>
          <w:szCs w:val="24"/>
        </w:rPr>
        <w:t xml:space="preserve">članka 29. i 30. Statuta Općine Prgomet (Službeni glasnik Općine Prgomet broj 2/21), po prijedlogu Općinskog načelnika,  Općinsko vijeće Općine Prgomet </w:t>
      </w:r>
      <w:r>
        <w:rPr>
          <w:rFonts w:ascii="Times New Roman" w:hAnsi="Times New Roman" w:cs="Times New Roman"/>
          <w:sz w:val="24"/>
          <w:szCs w:val="24"/>
        </w:rPr>
        <w:t xml:space="preserve">na svojoj </w:t>
      </w:r>
      <w:r w:rsidR="00C07F27">
        <w:rPr>
          <w:rFonts w:ascii="Times New Roman" w:hAnsi="Times New Roman" w:cs="Times New Roman"/>
          <w:sz w:val="24"/>
          <w:szCs w:val="24"/>
        </w:rPr>
        <w:t>12</w:t>
      </w:r>
      <w:r w:rsidRPr="00A90E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sjednici Općinskog vijeća od 1</w:t>
      </w:r>
      <w:r w:rsidR="00C07F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F27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ED2">
        <w:rPr>
          <w:rFonts w:ascii="Times New Roman" w:hAnsi="Times New Roman" w:cs="Times New Roman"/>
          <w:sz w:val="24"/>
          <w:szCs w:val="24"/>
        </w:rPr>
        <w:t>202</w:t>
      </w:r>
      <w:r w:rsidR="00C07F27">
        <w:rPr>
          <w:rFonts w:ascii="Times New Roman" w:hAnsi="Times New Roman" w:cs="Times New Roman"/>
          <w:sz w:val="24"/>
          <w:szCs w:val="24"/>
        </w:rPr>
        <w:t>3</w:t>
      </w:r>
      <w:r w:rsidRPr="00A90ED2">
        <w:rPr>
          <w:rFonts w:ascii="Times New Roman" w:hAnsi="Times New Roman" w:cs="Times New Roman"/>
          <w:sz w:val="24"/>
          <w:szCs w:val="24"/>
        </w:rPr>
        <w:t>.god. usvaja</w:t>
      </w:r>
    </w:p>
    <w:p w:rsidR="00A530CB" w:rsidRPr="00A90ED2" w:rsidRDefault="00A530CB" w:rsidP="00A530CB">
      <w:pPr>
        <w:spacing w:line="0" w:lineRule="atLeast"/>
        <w:ind w:right="4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A530CB" w:rsidRPr="00164C83" w:rsidRDefault="00A530CB" w:rsidP="00A53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C83">
        <w:rPr>
          <w:rFonts w:ascii="Times New Roman" w:hAnsi="Times New Roman" w:cs="Times New Roman"/>
          <w:bCs/>
          <w:sz w:val="24"/>
          <w:szCs w:val="24"/>
        </w:rPr>
        <w:t>I.   R E B A L A N S     P R O G R A M A    G R A D NJ E</w:t>
      </w:r>
    </w:p>
    <w:p w:rsidR="00A530CB" w:rsidRPr="00164C83" w:rsidRDefault="00A530CB" w:rsidP="00A530CB">
      <w:pPr>
        <w:jc w:val="center"/>
      </w:pPr>
    </w:p>
    <w:p w:rsidR="00A530CB" w:rsidRPr="00164C83" w:rsidRDefault="00A530CB" w:rsidP="00A530CB">
      <w:pPr>
        <w:pStyle w:val="Tijeloteksta"/>
        <w:jc w:val="center"/>
      </w:pPr>
      <w:r w:rsidRPr="00164C83">
        <w:t xml:space="preserve">objekata i uređaja komunalne infrastrukture u Općini Prgomet za </w:t>
      </w:r>
      <w:r>
        <w:t>202</w:t>
      </w:r>
      <w:r w:rsidR="00C07F27">
        <w:t>3</w:t>
      </w:r>
      <w:r>
        <w:t>.god.</w:t>
      </w:r>
    </w:p>
    <w:p w:rsidR="00A530CB" w:rsidRPr="002B1D63" w:rsidRDefault="00A530CB" w:rsidP="00A530CB">
      <w:pPr>
        <w:pStyle w:val="Tijeloteksta"/>
        <w:rPr>
          <w:b/>
        </w:rPr>
      </w:pPr>
    </w:p>
    <w:p w:rsidR="00A530CB" w:rsidRPr="00CE4092" w:rsidRDefault="00A530CB" w:rsidP="00A530CB">
      <w:pPr>
        <w:pStyle w:val="Tijeloteksta"/>
        <w:jc w:val="center"/>
      </w:pPr>
      <w:r w:rsidRPr="00CE4092">
        <w:t xml:space="preserve">Članak 1. </w:t>
      </w:r>
    </w:p>
    <w:p w:rsidR="00A530CB" w:rsidRPr="00CE4092" w:rsidRDefault="00A530CB" w:rsidP="00A530CB">
      <w:pPr>
        <w:jc w:val="both"/>
        <w:rPr>
          <w:rFonts w:ascii="Times New Roman" w:hAnsi="Times New Roman" w:cs="Times New Roman"/>
          <w:sz w:val="24"/>
          <w:szCs w:val="24"/>
        </w:rPr>
      </w:pPr>
      <w:r w:rsidRPr="00CE4092">
        <w:rPr>
          <w:rFonts w:ascii="Times New Roman" w:hAnsi="Times New Roman" w:cs="Times New Roman"/>
          <w:sz w:val="24"/>
          <w:szCs w:val="24"/>
        </w:rPr>
        <w:t xml:space="preserve">Ovim </w:t>
      </w:r>
      <w:r w:rsidR="00C07F27">
        <w:rPr>
          <w:rFonts w:ascii="Times New Roman" w:hAnsi="Times New Roman" w:cs="Times New Roman"/>
          <w:sz w:val="24"/>
          <w:szCs w:val="24"/>
        </w:rPr>
        <w:t>I.</w:t>
      </w:r>
      <w:r w:rsidRPr="00CE4092">
        <w:rPr>
          <w:rFonts w:ascii="Times New Roman" w:hAnsi="Times New Roman" w:cs="Times New Roman"/>
          <w:sz w:val="24"/>
          <w:szCs w:val="24"/>
        </w:rPr>
        <w:t xml:space="preserve">rebalansom Programa određuje se gradnja objekata i uređaja komunalne infrastrukture na području općine </w:t>
      </w:r>
      <w:r>
        <w:rPr>
          <w:rFonts w:ascii="Times New Roman" w:hAnsi="Times New Roman" w:cs="Times New Roman"/>
          <w:sz w:val="24"/>
          <w:szCs w:val="24"/>
        </w:rPr>
        <w:t>Prgomet  za 202</w:t>
      </w:r>
      <w:r w:rsidR="00C07F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09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E40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0CB" w:rsidRPr="002B1D63" w:rsidRDefault="00A530CB" w:rsidP="00A530CB">
      <w:pPr>
        <w:pStyle w:val="Tijeloteksta"/>
        <w:jc w:val="both"/>
      </w:pPr>
      <w:r>
        <w:t>O</w:t>
      </w:r>
      <w:r w:rsidRPr="002B1D63">
        <w:t xml:space="preserve">vim </w:t>
      </w:r>
      <w:r w:rsidR="00715A0B">
        <w:t xml:space="preserve">I. </w:t>
      </w:r>
      <w:r>
        <w:t xml:space="preserve">rebalansom </w:t>
      </w:r>
      <w:r w:rsidRPr="002B1D63">
        <w:t>Program</w:t>
      </w:r>
      <w:r>
        <w:t>a</w:t>
      </w:r>
      <w:r w:rsidRPr="002B1D63">
        <w:t xml:space="preserve"> određuje se opis poslova s troškovima za gradnju objekata iz stavka 1. ovog članka, te iskaz financijskih sredstava potrebnih za ostvarivanje programa s naznakom izvora</w:t>
      </w:r>
      <w:r>
        <w:t xml:space="preserve"> financiranja po djelatnostima.</w:t>
      </w:r>
    </w:p>
    <w:p w:rsidR="00A530CB" w:rsidRPr="002B1D63" w:rsidRDefault="00A530CB" w:rsidP="00A530CB">
      <w:pPr>
        <w:pStyle w:val="Tijeloteksta"/>
        <w:jc w:val="center"/>
      </w:pPr>
      <w:r w:rsidRPr="002B1D63">
        <w:t>Članak 2.</w:t>
      </w:r>
    </w:p>
    <w:p w:rsidR="00A530CB" w:rsidRPr="002B1D63" w:rsidRDefault="00A530CB" w:rsidP="00A530CB">
      <w:pPr>
        <w:pStyle w:val="Bezproreda"/>
        <w:rPr>
          <w:rFonts w:ascii="Times New Roman" w:hAnsi="Times New Roman"/>
          <w:sz w:val="24"/>
          <w:szCs w:val="24"/>
          <w:lang w:val="fr-LU"/>
        </w:rPr>
      </w:pPr>
      <w:r w:rsidRPr="002B1D63">
        <w:rPr>
          <w:rFonts w:ascii="Times New Roman" w:hAnsi="Times New Roman"/>
          <w:sz w:val="24"/>
          <w:szCs w:val="24"/>
          <w:lang w:val="fr-LU"/>
        </w:rPr>
        <w:t xml:space="preserve">Sredstva za ostvarenje ovog programa se temelje na sredstvima koja se planiraju iz slijedećih izvora : </w:t>
      </w:r>
    </w:p>
    <w:p w:rsidR="00A530CB" w:rsidRPr="002B1D63" w:rsidRDefault="00A530CB" w:rsidP="00A530CB">
      <w:pPr>
        <w:pStyle w:val="Bezproreda"/>
        <w:rPr>
          <w:rFonts w:ascii="Times New Roman" w:hAnsi="Times New Roman"/>
          <w:sz w:val="24"/>
          <w:szCs w:val="24"/>
          <w:lang w:val="fr-LU"/>
        </w:rPr>
      </w:pPr>
      <w:r w:rsidRPr="002B1D63">
        <w:rPr>
          <w:rFonts w:ascii="Times New Roman" w:hAnsi="Times New Roman"/>
          <w:sz w:val="24"/>
          <w:szCs w:val="24"/>
          <w:lang w:val="fr-LU"/>
        </w:rPr>
        <w:t>- komunale naknade i komunalnog doprinosa</w:t>
      </w:r>
    </w:p>
    <w:p w:rsidR="00A530CB" w:rsidRPr="002B1D63" w:rsidRDefault="00A530CB" w:rsidP="00A530CB">
      <w:pPr>
        <w:pStyle w:val="Bezproreda"/>
        <w:rPr>
          <w:rFonts w:ascii="Times New Roman" w:hAnsi="Times New Roman"/>
          <w:sz w:val="24"/>
          <w:szCs w:val="24"/>
          <w:lang w:val="fr-LU"/>
        </w:rPr>
      </w:pPr>
      <w:r w:rsidRPr="002B1D63">
        <w:rPr>
          <w:rFonts w:ascii="Times New Roman" w:hAnsi="Times New Roman"/>
          <w:sz w:val="24"/>
          <w:szCs w:val="24"/>
          <w:lang w:val="fr-LU"/>
        </w:rPr>
        <w:t>- pomoći iz Ministastva RR i fondova EU</w:t>
      </w:r>
    </w:p>
    <w:p w:rsidR="00A530CB" w:rsidRPr="002B1D63" w:rsidRDefault="00A530CB" w:rsidP="00A530CB">
      <w:pPr>
        <w:pStyle w:val="Bezproreda"/>
        <w:rPr>
          <w:rFonts w:ascii="Times New Roman" w:hAnsi="Times New Roman"/>
          <w:sz w:val="24"/>
          <w:szCs w:val="24"/>
          <w:lang w:val="fr-LU"/>
        </w:rPr>
      </w:pPr>
      <w:r w:rsidRPr="002B1D63">
        <w:rPr>
          <w:rFonts w:ascii="Times New Roman" w:hAnsi="Times New Roman"/>
          <w:sz w:val="24"/>
          <w:szCs w:val="24"/>
          <w:lang w:val="fr-LU"/>
        </w:rPr>
        <w:t xml:space="preserve">- tekuće pomoći iz proračuna SD Županije (UO za komunalne poslove, komunalnu infrastrukturu i zaštitu </w:t>
      </w:r>
      <w:r>
        <w:rPr>
          <w:rFonts w:ascii="Times New Roman" w:hAnsi="Times New Roman"/>
          <w:sz w:val="24"/>
          <w:szCs w:val="24"/>
          <w:lang w:val="fr-LU"/>
        </w:rPr>
        <w:t xml:space="preserve">     okoliša) </w:t>
      </w:r>
      <w:r w:rsidRPr="002B1D63">
        <w:rPr>
          <w:rFonts w:ascii="Times New Roman" w:hAnsi="Times New Roman"/>
          <w:sz w:val="24"/>
          <w:szCs w:val="24"/>
          <w:lang w:val="fr-LU"/>
        </w:rPr>
        <w:t xml:space="preserve">i ista će se rasporediti za građenje: </w:t>
      </w:r>
    </w:p>
    <w:p w:rsidR="00A530CB" w:rsidRDefault="00A530CB" w:rsidP="00A530CB">
      <w:pPr>
        <w:pStyle w:val="Tijeloteksta"/>
        <w:jc w:val="center"/>
      </w:pPr>
      <w:r w:rsidRPr="002B1D63">
        <w:t xml:space="preserve">Članak </w:t>
      </w:r>
      <w:r>
        <w:t>3</w:t>
      </w:r>
      <w:r w:rsidRPr="002B1D63">
        <w:t>.</w:t>
      </w:r>
    </w:p>
    <w:p w:rsidR="00A530CB" w:rsidRDefault="00A530CB" w:rsidP="00A530CB">
      <w:pPr>
        <w:pStyle w:val="Tijeloteksta"/>
        <w:jc w:val="both"/>
      </w:pPr>
      <w:r>
        <w:t>Tabličnim se prikazom , koji je sastavni dio ovog rebalansa programa određuje opis poslova kroz projekte  s procjenom troškova za gradnju objekata i uređaja, te iskaz financijskih sredstava potrebnih za njegovo ostvarivanje s naznakom izvora financiranja po djelatnostima.</w:t>
      </w:r>
    </w:p>
    <w:p w:rsidR="00A530CB" w:rsidRDefault="00552DE0" w:rsidP="00A530CB">
      <w:pPr>
        <w:pStyle w:val="Tijeloteksta"/>
        <w:jc w:val="center"/>
      </w:pPr>
      <w:r>
        <w:t>Čl</w:t>
      </w:r>
      <w:r w:rsidR="00A530CB" w:rsidRPr="002B1D63">
        <w:t xml:space="preserve">anak </w:t>
      </w:r>
      <w:r w:rsidR="00A530CB">
        <w:t>4</w:t>
      </w:r>
      <w:r w:rsidR="00A530CB" w:rsidRPr="002B1D63">
        <w:t>.</w:t>
      </w:r>
    </w:p>
    <w:p w:rsidR="00A530CB" w:rsidRPr="005C5437" w:rsidRDefault="00A530CB" w:rsidP="00A530CB">
      <w:pPr>
        <w:spacing w:line="0" w:lineRule="atLeast"/>
        <w:ind w:right="4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437">
        <w:rPr>
          <w:rFonts w:ascii="Times New Roman" w:eastAsia="Arial" w:hAnsi="Times New Roman" w:cs="Times New Roman"/>
          <w:sz w:val="24"/>
          <w:szCs w:val="24"/>
        </w:rPr>
        <w:t>Detaljan raspored</w:t>
      </w:r>
      <w:r>
        <w:rPr>
          <w:rFonts w:ascii="Times New Roman" w:eastAsia="Arial" w:hAnsi="Times New Roman" w:cs="Times New Roman"/>
          <w:sz w:val="24"/>
          <w:szCs w:val="24"/>
        </w:rPr>
        <w:t xml:space="preserve"> sredstava po radovima i pojedinim namjenama unutar kalendarske godine odredit će načelnik Općine Prgomet. Ukoliko se tijekom kalendarske godine pojavi potreba za određenim aktivnostima koje nisu predviđene ovim programom, o njihovoj realizaciji posebnu odluku donijet će općinski načelnik.</w:t>
      </w:r>
    </w:p>
    <w:p w:rsidR="00A530CB" w:rsidRDefault="00A530CB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530CB" w:rsidRDefault="00A530CB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530CB" w:rsidRDefault="00A530CB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530CB" w:rsidRDefault="00A530CB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530CB" w:rsidRDefault="00A530CB" w:rsidP="00A530CB">
      <w:pPr>
        <w:spacing w:line="0" w:lineRule="atLeast"/>
        <w:ind w:right="400"/>
        <w:rPr>
          <w:rFonts w:ascii="Arial" w:eastAsia="Arial" w:hAnsi="Arial"/>
          <w:b/>
        </w:rPr>
      </w:pPr>
    </w:p>
    <w:p w:rsidR="00A3064E" w:rsidRDefault="00A3064E" w:rsidP="00A3064E">
      <w:pPr>
        <w:pStyle w:val="Tijeloteksta"/>
        <w:spacing w:before="122" w:after="26"/>
        <w:ind w:right="144"/>
        <w:jc w:val="right"/>
      </w:pPr>
      <w:r>
        <w:lastRenderedPageBreak/>
        <w:t>Navedeni iznosi su izraženi u EUR valuti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14"/>
        <w:gridCol w:w="116"/>
        <w:gridCol w:w="113"/>
        <w:gridCol w:w="114"/>
        <w:gridCol w:w="117"/>
        <w:gridCol w:w="114"/>
        <w:gridCol w:w="117"/>
        <w:gridCol w:w="115"/>
        <w:gridCol w:w="275"/>
        <w:gridCol w:w="4804"/>
        <w:gridCol w:w="1710"/>
        <w:gridCol w:w="1708"/>
        <w:gridCol w:w="1141"/>
      </w:tblGrid>
      <w:tr w:rsidR="00A3064E" w:rsidTr="00B038B9">
        <w:trPr>
          <w:trHeight w:val="834"/>
        </w:trPr>
        <w:tc>
          <w:tcPr>
            <w:tcW w:w="10844" w:type="dxa"/>
            <w:gridSpan w:val="14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63"/>
              <w:ind w:left="1140" w:right="115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Rebalans programa gradnje komunalne infrastrukture za 2023. godinu</w:t>
            </w:r>
          </w:p>
          <w:p w:rsidR="00A3064E" w:rsidRDefault="00A3064E" w:rsidP="00B038B9">
            <w:pPr>
              <w:pStyle w:val="TableParagraph"/>
              <w:spacing w:before="74"/>
              <w:ind w:left="1140" w:right="11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Rebalans programa gradnje komunalne infrastrukture za 2023. godinu</w:t>
            </w:r>
          </w:p>
        </w:tc>
      </w:tr>
      <w:tr w:rsidR="00A3064E" w:rsidTr="00B038B9">
        <w:trPr>
          <w:trHeight w:val="804"/>
        </w:trPr>
        <w:tc>
          <w:tcPr>
            <w:tcW w:w="148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5" w:line="237" w:lineRule="auto"/>
              <w:ind w:left="424" w:right="399" w:hanging="1"/>
              <w:jc w:val="center"/>
              <w:rPr>
                <w:sz w:val="20"/>
              </w:rPr>
            </w:pPr>
            <w:r>
              <w:rPr>
                <w:sz w:val="20"/>
              </w:rPr>
              <w:t>Račun/ Pozicija</w:t>
            </w:r>
          </w:p>
          <w:p w:rsidR="00A3064E" w:rsidRDefault="00A3064E" w:rsidP="00B038B9">
            <w:pPr>
              <w:pStyle w:val="TableParagraph"/>
              <w:spacing w:before="85" w:line="216" w:lineRule="exact"/>
              <w:ind w:right="14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3"/>
              <w:ind w:left="2183" w:right="2188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A3064E" w:rsidRDefault="00A3064E" w:rsidP="00B038B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A3064E" w:rsidRDefault="00A3064E" w:rsidP="00B038B9">
            <w:pPr>
              <w:pStyle w:val="TableParagraph"/>
              <w:spacing w:before="1" w:line="21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7" w:line="237" w:lineRule="auto"/>
              <w:ind w:left="109" w:right="174"/>
              <w:jc w:val="center"/>
              <w:rPr>
                <w:sz w:val="20"/>
              </w:rPr>
            </w:pPr>
            <w:r>
              <w:rPr>
                <w:sz w:val="20"/>
              </w:rPr>
              <w:t>Proračun 2023 - I.Rebalans</w:t>
            </w:r>
          </w:p>
          <w:p w:rsidR="00A3064E" w:rsidRDefault="00A3064E" w:rsidP="00B038B9">
            <w:pPr>
              <w:pStyle w:val="TableParagraph"/>
              <w:spacing w:before="83" w:line="21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5"/>
              <w:ind w:left="130" w:right="134"/>
              <w:jc w:val="center"/>
              <w:rPr>
                <w:sz w:val="20"/>
              </w:rPr>
            </w:pPr>
            <w:r>
              <w:rPr>
                <w:sz w:val="20"/>
              </w:rPr>
              <w:t>Ostvareno 2023</w:t>
            </w:r>
          </w:p>
          <w:p w:rsidR="00A3064E" w:rsidRDefault="00A3064E" w:rsidP="00B038B9">
            <w:pPr>
              <w:pStyle w:val="TableParagraph"/>
              <w:spacing w:before="8"/>
              <w:rPr>
                <w:rFonts w:ascii="Trebuchet MS"/>
                <w:sz w:val="27"/>
              </w:rPr>
            </w:pPr>
          </w:p>
          <w:p w:rsidR="00A3064E" w:rsidRDefault="00A3064E" w:rsidP="00B038B9">
            <w:pPr>
              <w:pStyle w:val="TableParagraph"/>
              <w:spacing w:before="1" w:line="216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7" w:line="237" w:lineRule="auto"/>
              <w:ind w:left="267" w:right="277"/>
              <w:jc w:val="center"/>
              <w:rPr>
                <w:sz w:val="20"/>
              </w:rPr>
            </w:pPr>
            <w:r>
              <w:rPr>
                <w:sz w:val="20"/>
              </w:rPr>
              <w:t>Indeks 4/3</w:t>
            </w:r>
          </w:p>
          <w:p w:rsidR="00A3064E" w:rsidRDefault="00A3064E" w:rsidP="00B038B9">
            <w:pPr>
              <w:pStyle w:val="TableParagraph"/>
              <w:spacing w:before="83" w:line="216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A3064E" w:rsidTr="00B038B9">
        <w:trPr>
          <w:trHeight w:val="492"/>
        </w:trPr>
        <w:tc>
          <w:tcPr>
            <w:tcW w:w="148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3064E" w:rsidRDefault="00A3064E" w:rsidP="00B038B9">
            <w:pPr>
              <w:pStyle w:val="TableParagraph"/>
              <w:spacing w:before="0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:rsidR="00A3064E" w:rsidRDefault="00A3064E" w:rsidP="00B038B9">
            <w:pPr>
              <w:pStyle w:val="TableParagraph"/>
              <w:spacing w:before="91" w:line="187" w:lineRule="exact"/>
              <w:ind w:left="819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3064E" w:rsidRDefault="00A3064E" w:rsidP="00B038B9">
            <w:pPr>
              <w:pStyle w:val="TableParagraph"/>
              <w:spacing w:before="2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 ODJEL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3064E" w:rsidRDefault="00A3064E" w:rsidP="00B038B9">
            <w:pPr>
              <w:pStyle w:val="TableParagraph"/>
              <w:spacing w:before="2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309.526,24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3064E" w:rsidRDefault="00A3064E" w:rsidP="00B038B9">
            <w:pPr>
              <w:pStyle w:val="TableParagraph"/>
              <w:spacing w:before="2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3064E" w:rsidRDefault="00A3064E" w:rsidP="00B038B9">
            <w:pPr>
              <w:pStyle w:val="TableParagraph"/>
              <w:spacing w:before="2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A3064E" w:rsidTr="00B038B9">
        <w:trPr>
          <w:trHeight w:val="253"/>
        </w:trPr>
        <w:tc>
          <w:tcPr>
            <w:tcW w:w="1481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GLAVA 00101</w:t>
            </w:r>
          </w:p>
        </w:tc>
        <w:tc>
          <w:tcPr>
            <w:tcW w:w="480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 ODJEL</w:t>
            </w:r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309.526,24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A3064E" w:rsidTr="00B038B9">
        <w:trPr>
          <w:trHeight w:val="197"/>
        </w:trPr>
        <w:tc>
          <w:tcPr>
            <w:tcW w:w="1091" w:type="dxa"/>
            <w:gridSpan w:val="8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</w:tr>
      <w:tr w:rsidR="00A3064E" w:rsidTr="00B038B9">
        <w:trPr>
          <w:trHeight w:val="506"/>
        </w:trPr>
        <w:tc>
          <w:tcPr>
            <w:tcW w:w="1481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A3064E" w:rsidRDefault="00A3064E" w:rsidP="00B038B9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A3064E" w:rsidRDefault="00A3064E" w:rsidP="00B038B9">
            <w:pPr>
              <w:pStyle w:val="TableParagraph"/>
              <w:spacing w:before="34"/>
              <w:ind w:left="715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A3064E" w:rsidRDefault="00A3064E" w:rsidP="00B038B9">
            <w:pPr>
              <w:pStyle w:val="TableParagraph"/>
              <w:spacing w:before="5" w:line="237" w:lineRule="auto"/>
              <w:ind w:left="24" w:right="1114"/>
              <w:rPr>
                <w:b/>
                <w:sz w:val="20"/>
              </w:rPr>
            </w:pPr>
            <w:r>
              <w:rPr>
                <w:b/>
                <w:sz w:val="20"/>
              </w:rPr>
              <w:t>PROGRAM IZGRADNJE KOMUNALNE INFRASTRUKTURE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A3064E" w:rsidRDefault="00A3064E" w:rsidP="00B038B9">
            <w:pPr>
              <w:pStyle w:val="TableParagraph"/>
              <w:spacing w:before="3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309.526,24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A3064E" w:rsidRDefault="00A3064E" w:rsidP="00B038B9">
            <w:pPr>
              <w:pStyle w:val="TableParagraph"/>
              <w:spacing w:before="3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A3064E" w:rsidRDefault="00A3064E" w:rsidP="00B038B9">
            <w:pPr>
              <w:pStyle w:val="TableParagraph"/>
              <w:spacing w:before="3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A3064E" w:rsidTr="00B038B9">
        <w:trPr>
          <w:trHeight w:val="258"/>
        </w:trPr>
        <w:tc>
          <w:tcPr>
            <w:tcW w:w="1481" w:type="dxa"/>
            <w:gridSpan w:val="10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tabs>
                <w:tab w:val="left" w:pos="736"/>
              </w:tabs>
              <w:spacing w:before="10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K100010</w:t>
            </w:r>
          </w:p>
        </w:tc>
        <w:tc>
          <w:tcPr>
            <w:tcW w:w="4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ULAGANJA U GRAĐEVINSKE OBJEKTE</w:t>
            </w:r>
          </w:p>
          <w:p w:rsidR="00A3064E" w:rsidRDefault="00A3064E" w:rsidP="00B038B9">
            <w:pPr>
              <w:pStyle w:val="TableParagraph"/>
              <w:spacing w:before="89"/>
              <w:ind w:left="24"/>
              <w:rPr>
                <w:sz w:val="14"/>
              </w:rPr>
            </w:pPr>
            <w:r>
              <w:rPr>
                <w:sz w:val="14"/>
              </w:rPr>
              <w:t>Funkcija: 0113 Vanjski poslovi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215.526,24</w:t>
            </w: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left="558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3064E" w:rsidTr="00B038B9">
        <w:trPr>
          <w:trHeight w:val="199"/>
        </w:trPr>
        <w:tc>
          <w:tcPr>
            <w:tcW w:w="28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 w:line="163" w:lineRule="exact"/>
              <w:ind w:left="11" w:right="-1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064E" w:rsidRDefault="00A3064E" w:rsidP="00B038B9">
            <w:pPr>
              <w:rPr>
                <w:sz w:val="2"/>
                <w:szCs w:val="2"/>
              </w:rPr>
            </w:pPr>
          </w:p>
        </w:tc>
      </w:tr>
      <w:tr w:rsidR="00A3064E" w:rsidTr="00B038B9">
        <w:trPr>
          <w:trHeight w:val="200"/>
        </w:trPr>
        <w:tc>
          <w:tcPr>
            <w:tcW w:w="1481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left="699"/>
              <w:rPr>
                <w:b/>
                <w:sz w:val="14"/>
              </w:rPr>
            </w:pPr>
            <w:r>
              <w:rPr>
                <w:b/>
                <w:sz w:val="14"/>
              </w:rPr>
              <w:t>Izvor: 500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211.544,56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3064E" w:rsidTr="00B038B9">
        <w:trPr>
          <w:trHeight w:val="497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9"/>
              <w:ind w:left="284"/>
              <w:rPr>
                <w:sz w:val="16"/>
              </w:rPr>
            </w:pPr>
            <w:r>
              <w:rPr>
                <w:sz w:val="16"/>
              </w:rPr>
              <w:t>42100</w:t>
            </w:r>
          </w:p>
        </w:tc>
        <w:tc>
          <w:tcPr>
            <w:tcW w:w="738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8"/>
              <w:ind w:left="231" w:right="2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109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9"/>
              <w:ind w:left="24"/>
              <w:rPr>
                <w:sz w:val="16"/>
              </w:rPr>
            </w:pPr>
            <w:r>
              <w:rPr>
                <w:sz w:val="16"/>
              </w:rPr>
              <w:t>Građevinski objekti</w:t>
            </w:r>
          </w:p>
          <w:p w:rsidR="00A3064E" w:rsidRDefault="00A3064E" w:rsidP="00B038B9">
            <w:pPr>
              <w:pStyle w:val="TableParagraph"/>
              <w:spacing w:before="96" w:line="179" w:lineRule="exact"/>
              <w:ind w:left="24"/>
              <w:rPr>
                <w:sz w:val="16"/>
              </w:rPr>
            </w:pPr>
            <w:r>
              <w:rPr>
                <w:sz w:val="16"/>
              </w:rPr>
              <w:t>IZGRADNJA VATROGASNOG DOMA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9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26.544,56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9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3064E" w:rsidRDefault="00A3064E" w:rsidP="00B038B9">
            <w:pPr>
              <w:pStyle w:val="TableParagraph"/>
              <w:spacing w:before="9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A3064E" w:rsidTr="00B038B9">
        <w:trPr>
          <w:trHeight w:val="48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left="284"/>
              <w:rPr>
                <w:sz w:val="16"/>
              </w:rPr>
            </w:pPr>
            <w:r>
              <w:rPr>
                <w:sz w:val="16"/>
              </w:rPr>
              <w:t>42100</w:t>
            </w:r>
          </w:p>
        </w:tc>
        <w:tc>
          <w:tcPr>
            <w:tcW w:w="738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2"/>
              <w:ind w:left="231" w:right="2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116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left="24"/>
              <w:rPr>
                <w:sz w:val="16"/>
              </w:rPr>
            </w:pPr>
            <w:r>
              <w:rPr>
                <w:sz w:val="16"/>
              </w:rPr>
              <w:t>Građevinski objekti</w:t>
            </w:r>
          </w:p>
          <w:p w:rsidR="00A3064E" w:rsidRDefault="00A3064E" w:rsidP="00B038B9">
            <w:pPr>
              <w:pStyle w:val="TableParagraph"/>
              <w:spacing w:before="96" w:line="177" w:lineRule="exact"/>
              <w:ind w:left="24"/>
              <w:rPr>
                <w:sz w:val="16"/>
              </w:rPr>
            </w:pPr>
            <w:r>
              <w:rPr>
                <w:sz w:val="16"/>
              </w:rPr>
              <w:t>RADNA ZONA PODOŠLJAK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3064E" w:rsidRDefault="00A3064E" w:rsidP="00B038B9">
            <w:pPr>
              <w:pStyle w:val="TableParagraph"/>
              <w:spacing w:before="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A3064E" w:rsidTr="00B038B9">
        <w:trPr>
          <w:trHeight w:val="50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5"/>
              <w:ind w:left="284"/>
              <w:rPr>
                <w:sz w:val="16"/>
              </w:rPr>
            </w:pPr>
            <w:r>
              <w:rPr>
                <w:sz w:val="16"/>
              </w:rPr>
              <w:t>42149</w:t>
            </w:r>
          </w:p>
        </w:tc>
        <w:tc>
          <w:tcPr>
            <w:tcW w:w="738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ind w:left="231" w:right="2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110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5"/>
              <w:ind w:left="24"/>
              <w:rPr>
                <w:sz w:val="16"/>
              </w:rPr>
            </w:pPr>
            <w:r>
              <w:rPr>
                <w:sz w:val="16"/>
              </w:rPr>
              <w:t>Ostali nespomenuti građevinski objekti</w:t>
            </w:r>
          </w:p>
          <w:p w:rsidR="00A3064E" w:rsidRDefault="00A3064E" w:rsidP="00B038B9">
            <w:pPr>
              <w:pStyle w:val="TableParagraph"/>
              <w:spacing w:before="96" w:line="185" w:lineRule="exact"/>
              <w:ind w:left="24"/>
              <w:rPr>
                <w:sz w:val="16"/>
              </w:rPr>
            </w:pPr>
            <w:r>
              <w:rPr>
                <w:sz w:val="16"/>
              </w:rPr>
              <w:t>IZGRADNJA VIDIKOVCA SITNO I PRGOMET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3064E" w:rsidRDefault="00A3064E" w:rsidP="00B038B9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A3064E" w:rsidTr="00B038B9">
        <w:trPr>
          <w:trHeight w:val="200"/>
        </w:trPr>
        <w:tc>
          <w:tcPr>
            <w:tcW w:w="1481" w:type="dxa"/>
            <w:gridSpan w:val="10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left="699"/>
              <w:rPr>
                <w:b/>
                <w:sz w:val="14"/>
              </w:rPr>
            </w:pPr>
            <w:r>
              <w:rPr>
                <w:b/>
                <w:sz w:val="14"/>
              </w:rPr>
              <w:t>Izvor: 520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3.981,68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3064E" w:rsidTr="00B038B9">
        <w:trPr>
          <w:trHeight w:val="48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left="284"/>
              <w:rPr>
                <w:sz w:val="16"/>
              </w:rPr>
            </w:pPr>
            <w:r>
              <w:rPr>
                <w:sz w:val="16"/>
              </w:rPr>
              <w:t>45110</w:t>
            </w:r>
          </w:p>
        </w:tc>
        <w:tc>
          <w:tcPr>
            <w:tcW w:w="738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2"/>
              <w:ind w:left="231" w:right="2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56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left="24"/>
              <w:rPr>
                <w:sz w:val="16"/>
              </w:rPr>
            </w:pPr>
            <w:r>
              <w:rPr>
                <w:sz w:val="16"/>
              </w:rPr>
              <w:t>Dodatna ulaganja na građevinskim objektima</w:t>
            </w:r>
          </w:p>
          <w:p w:rsidR="00A3064E" w:rsidRDefault="00A3064E" w:rsidP="00B038B9">
            <w:pPr>
              <w:pStyle w:val="TableParagraph"/>
              <w:spacing w:before="96" w:line="177" w:lineRule="exact"/>
              <w:ind w:left="24"/>
              <w:rPr>
                <w:sz w:val="16"/>
              </w:rPr>
            </w:pPr>
            <w:r>
              <w:rPr>
                <w:sz w:val="16"/>
              </w:rPr>
              <w:t>ULAGANJA ZA MRTVAČNICE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3.981,68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3064E" w:rsidRDefault="00A3064E" w:rsidP="00B038B9">
            <w:pPr>
              <w:pStyle w:val="TableParagraph"/>
              <w:spacing w:before="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A3064E" w:rsidTr="00B038B9">
        <w:trPr>
          <w:trHeight w:val="631"/>
        </w:trPr>
        <w:tc>
          <w:tcPr>
            <w:tcW w:w="148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tabs>
                <w:tab w:val="left" w:pos="736"/>
              </w:tabs>
              <w:spacing w:before="5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K100011</w:t>
            </w:r>
          </w:p>
          <w:p w:rsidR="00A3064E" w:rsidRDefault="00A3064E" w:rsidP="00B038B9">
            <w:pPr>
              <w:pStyle w:val="TableParagraph"/>
              <w:tabs>
                <w:tab w:val="right" w:pos="845"/>
              </w:tabs>
              <w:spacing w:before="77"/>
              <w:ind w:left="29"/>
              <w:rPr>
                <w:sz w:val="14"/>
              </w:rPr>
            </w:pPr>
            <w:r>
              <w:rPr>
                <w:sz w:val="14"/>
              </w:rPr>
              <w:t>Izv.</w:t>
            </w:r>
            <w:r>
              <w:rPr>
                <w:sz w:val="14"/>
              </w:rPr>
              <w:tab/>
            </w:r>
            <w:r>
              <w:rPr>
                <w:position w:val="1"/>
                <w:sz w:val="14"/>
              </w:rPr>
              <w:t>5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5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ULAGANJA - VODOVOD</w:t>
            </w:r>
          </w:p>
          <w:p w:rsidR="00A3064E" w:rsidRDefault="00A3064E" w:rsidP="00B038B9">
            <w:pPr>
              <w:pStyle w:val="TableParagraph"/>
              <w:spacing w:before="95" w:line="168" w:lineRule="exact"/>
              <w:ind w:left="24" w:right="281"/>
              <w:rPr>
                <w:sz w:val="14"/>
              </w:rPr>
            </w:pPr>
            <w:r>
              <w:rPr>
                <w:sz w:val="14"/>
              </w:rPr>
              <w:t>Funkcija: 0660 Rashodi vezani uz stanovanje i kom. pogodnosti koji nisu drugdje svrstani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5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5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5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3064E" w:rsidTr="00B038B9">
        <w:trPr>
          <w:trHeight w:val="200"/>
        </w:trPr>
        <w:tc>
          <w:tcPr>
            <w:tcW w:w="1481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left="699"/>
              <w:rPr>
                <w:b/>
                <w:sz w:val="14"/>
              </w:rPr>
            </w:pPr>
            <w:r>
              <w:rPr>
                <w:b/>
                <w:sz w:val="14"/>
              </w:rPr>
              <w:t>Izvor: 520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3064E" w:rsidTr="00B038B9">
        <w:trPr>
          <w:trHeight w:val="502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8"/>
              <w:ind w:left="284"/>
              <w:rPr>
                <w:sz w:val="16"/>
              </w:rPr>
            </w:pPr>
            <w:r>
              <w:rPr>
                <w:sz w:val="16"/>
              </w:rPr>
              <w:t>42141</w:t>
            </w:r>
          </w:p>
        </w:tc>
        <w:tc>
          <w:tcPr>
            <w:tcW w:w="738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7"/>
              <w:ind w:left="231" w:right="2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57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8"/>
              <w:ind w:left="24"/>
              <w:rPr>
                <w:sz w:val="16"/>
              </w:rPr>
            </w:pPr>
            <w:r>
              <w:rPr>
                <w:sz w:val="16"/>
              </w:rPr>
              <w:t>Plinovod, vodovod,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kanalizacija</w:t>
            </w:r>
          </w:p>
          <w:p w:rsidR="00A3064E" w:rsidRDefault="00A3064E" w:rsidP="00B038B9">
            <w:pPr>
              <w:pStyle w:val="TableParagraph"/>
              <w:spacing w:before="96" w:line="184" w:lineRule="exact"/>
              <w:ind w:left="24"/>
              <w:rPr>
                <w:sz w:val="16"/>
              </w:rPr>
            </w:pPr>
            <w:r>
              <w:rPr>
                <w:sz w:val="16"/>
              </w:rPr>
              <w:t>VODOVOD (DRAŽIĆI 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JURIĆI)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84.000,00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3064E" w:rsidRDefault="00A3064E" w:rsidP="00B038B9">
            <w:pPr>
              <w:pStyle w:val="TableParagraph"/>
              <w:spacing w:before="8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A3064E" w:rsidTr="00B038B9">
        <w:trPr>
          <w:trHeight w:val="638"/>
        </w:trPr>
        <w:tc>
          <w:tcPr>
            <w:tcW w:w="148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tabs>
                <w:tab w:val="left" w:pos="736"/>
              </w:tabs>
              <w:spacing w:before="10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K100012</w:t>
            </w:r>
          </w:p>
          <w:p w:rsidR="00A3064E" w:rsidRDefault="00A3064E" w:rsidP="00B038B9">
            <w:pPr>
              <w:pStyle w:val="TableParagraph"/>
              <w:tabs>
                <w:tab w:val="right" w:pos="845"/>
              </w:tabs>
              <w:spacing w:before="77"/>
              <w:ind w:left="29"/>
              <w:rPr>
                <w:sz w:val="14"/>
              </w:rPr>
            </w:pPr>
            <w:r>
              <w:rPr>
                <w:sz w:val="14"/>
              </w:rPr>
              <w:t>Izv.</w:t>
            </w:r>
            <w:r>
              <w:rPr>
                <w:sz w:val="14"/>
              </w:rPr>
              <w:tab/>
            </w:r>
            <w:r>
              <w:rPr>
                <w:position w:val="1"/>
                <w:sz w:val="14"/>
              </w:rPr>
              <w:t>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ULAGANJA - ODVODNJA</w:t>
            </w:r>
          </w:p>
          <w:p w:rsidR="00A3064E" w:rsidRDefault="00A3064E" w:rsidP="00B038B9">
            <w:pPr>
              <w:pStyle w:val="TableParagraph"/>
              <w:spacing w:before="95" w:line="168" w:lineRule="exact"/>
              <w:ind w:left="24" w:right="281"/>
              <w:rPr>
                <w:sz w:val="14"/>
              </w:rPr>
            </w:pPr>
            <w:r>
              <w:rPr>
                <w:sz w:val="14"/>
              </w:rPr>
              <w:t>Funkcija: 0660 Rashodi vezani uz stanovanje i kom. pogodnosti koji nisu drugdje svrstani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10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3064E" w:rsidTr="00B038B9">
        <w:trPr>
          <w:trHeight w:val="202"/>
        </w:trPr>
        <w:tc>
          <w:tcPr>
            <w:tcW w:w="1481" w:type="dxa"/>
            <w:gridSpan w:val="10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left="699"/>
              <w:rPr>
                <w:b/>
                <w:sz w:val="14"/>
              </w:rPr>
            </w:pPr>
            <w:r>
              <w:rPr>
                <w:b/>
                <w:sz w:val="14"/>
              </w:rPr>
              <w:t>Izvor: 520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3064E" w:rsidRDefault="00A3064E" w:rsidP="00B038B9">
            <w:pPr>
              <w:pStyle w:val="TableParagraph"/>
              <w:spacing w:before="9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3064E" w:rsidTr="00B038B9">
        <w:trPr>
          <w:trHeight w:val="49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42141</w:t>
            </w:r>
          </w:p>
        </w:tc>
        <w:tc>
          <w:tcPr>
            <w:tcW w:w="738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spacing w:before="3"/>
              <w:ind w:left="231" w:right="2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58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Plinovod, vodovod, kanalizacija</w:t>
            </w:r>
          </w:p>
          <w:p w:rsidR="00A3064E" w:rsidRDefault="00A3064E" w:rsidP="00B038B9">
            <w:pPr>
              <w:pStyle w:val="TableParagraph"/>
              <w:spacing w:before="96" w:line="184" w:lineRule="exact"/>
              <w:ind w:left="24"/>
              <w:rPr>
                <w:sz w:val="16"/>
              </w:rPr>
            </w:pPr>
            <w:r>
              <w:rPr>
                <w:sz w:val="16"/>
              </w:rPr>
              <w:t>KANALIZACIJA - ODVODNJA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064E" w:rsidRDefault="00A3064E" w:rsidP="00B038B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3064E" w:rsidRDefault="00A3064E" w:rsidP="00B038B9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A3064E" w:rsidTr="00B038B9">
        <w:trPr>
          <w:trHeight w:val="430"/>
        </w:trPr>
        <w:tc>
          <w:tcPr>
            <w:tcW w:w="628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67"/>
              <w:ind w:left="1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69"/>
              <w:ind w:right="1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309.526,24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69"/>
              <w:ind w:right="1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3064E" w:rsidRDefault="00A3064E" w:rsidP="00B038B9">
            <w:pPr>
              <w:pStyle w:val="TableParagraph"/>
              <w:spacing w:before="69"/>
              <w:ind w:right="2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0,00%</w:t>
            </w:r>
          </w:p>
        </w:tc>
      </w:tr>
    </w:tbl>
    <w:p w:rsidR="00A530CB" w:rsidRDefault="00A530CB"/>
    <w:p w:rsidR="00A530CB" w:rsidRDefault="00A530CB"/>
    <w:p w:rsidR="00A530CB" w:rsidRDefault="00A530CB"/>
    <w:p w:rsidR="00664055" w:rsidRPr="002B1D63" w:rsidRDefault="00664055" w:rsidP="00664055">
      <w:pPr>
        <w:pStyle w:val="Tijeloteksta"/>
        <w:ind w:right="-334"/>
        <w:jc w:val="center"/>
      </w:pPr>
      <w:r w:rsidRPr="002B1D63">
        <w:t xml:space="preserve">Članak </w:t>
      </w:r>
      <w:r>
        <w:t>5</w:t>
      </w:r>
      <w:r w:rsidRPr="002B1D63">
        <w:t>.</w:t>
      </w:r>
    </w:p>
    <w:p w:rsidR="00664055" w:rsidRDefault="00664055" w:rsidP="00664055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 w:rsidRPr="0001425F">
        <w:rPr>
          <w:rFonts w:ascii="Times New Roman" w:hAnsi="Times New Roman" w:cs="Times New Roman"/>
          <w:sz w:val="24"/>
          <w:szCs w:val="24"/>
        </w:rPr>
        <w:t>Ovaj I. Rebalans programa gradnje stupa na snagu osm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Pr="0001425F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25F">
        <w:rPr>
          <w:rFonts w:ascii="Times New Roman" w:hAnsi="Times New Roman" w:cs="Times New Roman"/>
          <w:sz w:val="24"/>
          <w:szCs w:val="24"/>
        </w:rPr>
        <w:t xml:space="preserve"> od dana objave</w:t>
      </w:r>
      <w:r>
        <w:rPr>
          <w:rFonts w:ascii="Times New Roman" w:hAnsi="Times New Roman" w:cs="Times New Roman"/>
          <w:sz w:val="24"/>
          <w:szCs w:val="24"/>
        </w:rPr>
        <w:t xml:space="preserve"> u „</w:t>
      </w:r>
      <w:r w:rsidRPr="0001425F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>užbenom glasniku Općine Prgomet“.</w:t>
      </w:r>
    </w:p>
    <w:p w:rsidR="00664055" w:rsidRPr="0001425F" w:rsidRDefault="00664055" w:rsidP="00664055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p w:rsidR="00664055" w:rsidRDefault="00562215" w:rsidP="0066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KLASA:024-03/23-01/12</w:t>
      </w:r>
    </w:p>
    <w:p w:rsidR="00664055" w:rsidRDefault="005E1ADC" w:rsidP="0066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URBROJ:2134-04-01-2</w:t>
      </w:r>
      <w:r w:rsidR="0024405F">
        <w:rPr>
          <w:rFonts w:ascii="Times New Roman" w:hAnsi="Times New Roman" w:cs="Times New Roman"/>
          <w:sz w:val="24"/>
          <w:szCs w:val="24"/>
        </w:rPr>
        <w:t>3-06</w:t>
      </w:r>
    </w:p>
    <w:p w:rsidR="00664055" w:rsidRPr="0001425F" w:rsidRDefault="00562215" w:rsidP="00664055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Prgomet, 10. listopada 2023</w:t>
      </w:r>
      <w:r w:rsidR="00664055">
        <w:rPr>
          <w:rFonts w:ascii="Times New Roman" w:hAnsi="Times New Roman" w:cs="Times New Roman"/>
          <w:sz w:val="24"/>
          <w:szCs w:val="24"/>
        </w:rPr>
        <w:t>. god.</w:t>
      </w:r>
    </w:p>
    <w:p w:rsidR="00664055" w:rsidRDefault="00664055" w:rsidP="00664055">
      <w:pPr>
        <w:pStyle w:val="Tijeloteksta"/>
        <w:ind w:right="-334"/>
      </w:pP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>
        <w:t xml:space="preserve">                </w:t>
      </w:r>
      <w:r w:rsidRPr="0001425F">
        <w:t>Predsjednik općinskog vijeća:</w:t>
      </w:r>
    </w:p>
    <w:p w:rsidR="00664055" w:rsidRPr="0001425F" w:rsidRDefault="00664055" w:rsidP="00664055">
      <w:pPr>
        <w:pStyle w:val="Tijeloteksta"/>
        <w:tabs>
          <w:tab w:val="left" w:pos="5225"/>
        </w:tabs>
        <w:ind w:right="-334"/>
      </w:pPr>
      <w:bookmarkStart w:id="0" w:name="_GoBack"/>
      <w:bookmarkEnd w:id="0"/>
      <w:r w:rsidRPr="0001425F">
        <w:tab/>
      </w:r>
      <w:r>
        <w:t xml:space="preserve">                </w:t>
      </w:r>
      <w:r w:rsidRPr="0001425F">
        <w:t xml:space="preserve">    Ante </w:t>
      </w:r>
      <w:proofErr w:type="spellStart"/>
      <w:r w:rsidRPr="0001425F">
        <w:t>Drežančić</w:t>
      </w:r>
      <w:proofErr w:type="spellEnd"/>
    </w:p>
    <w:p w:rsidR="00664055" w:rsidRPr="0001425F" w:rsidRDefault="00664055" w:rsidP="0066405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30CB" w:rsidRDefault="00A530CB"/>
    <w:p w:rsidR="00A530CB" w:rsidRDefault="00A530CB"/>
    <w:p w:rsidR="00A530CB" w:rsidRDefault="00A530CB"/>
    <w:p w:rsidR="00A530CB" w:rsidRDefault="00A530CB"/>
    <w:p w:rsidR="00A530CB" w:rsidRDefault="00A530CB"/>
    <w:p w:rsidR="00A530CB" w:rsidRDefault="00A530CB"/>
    <w:p w:rsidR="00A530CB" w:rsidRDefault="00A530CB"/>
    <w:p w:rsidR="00A530CB" w:rsidRDefault="00A530CB"/>
    <w:sectPr w:rsidR="00A530CB">
      <w:type w:val="continuous"/>
      <w:pgSz w:w="11910" w:h="16840"/>
      <w:pgMar w:top="340" w:right="7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61"/>
    <w:rsid w:val="0024405F"/>
    <w:rsid w:val="004A369A"/>
    <w:rsid w:val="00552DE0"/>
    <w:rsid w:val="00562215"/>
    <w:rsid w:val="005E1ADC"/>
    <w:rsid w:val="00664055"/>
    <w:rsid w:val="00715A0B"/>
    <w:rsid w:val="00782643"/>
    <w:rsid w:val="00880F08"/>
    <w:rsid w:val="00A3064E"/>
    <w:rsid w:val="00A35003"/>
    <w:rsid w:val="00A530CB"/>
    <w:rsid w:val="00C07F27"/>
    <w:rsid w:val="00DB5018"/>
    <w:rsid w:val="00E47E3D"/>
    <w:rsid w:val="00F1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2C18C-F009-432D-B173-67530437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"/>
    <w:qFormat/>
    <w:pPr>
      <w:spacing w:before="26" w:after="7"/>
      <w:ind w:left="4106" w:right="4500" w:hanging="3"/>
      <w:jc w:val="center"/>
    </w:pPr>
    <w:rPr>
      <w:rFonts w:ascii="Arial" w:eastAsia="Arial" w:hAnsi="Arial" w:cs="Arial"/>
      <w:b/>
      <w:bCs/>
      <w:i/>
      <w:i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Tahoma" w:eastAsia="Tahoma" w:hAnsi="Tahoma" w:cs="Tahoma"/>
    </w:rPr>
  </w:style>
  <w:style w:type="paragraph" w:styleId="Tijeloteksta">
    <w:name w:val="Body Text"/>
    <w:aliases w:val="  uvlaka 2,uvlaka 3, uvlaka 3,uvlaka 2"/>
    <w:basedOn w:val="Normal"/>
    <w:link w:val="TijelotekstaChar"/>
    <w:qFormat/>
    <w:rsid w:val="00A530CB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aliases w:val="  uvlaka 2 Char,uvlaka 3 Char, uvlaka 3 Char,uvlaka 2 Char"/>
    <w:basedOn w:val="Zadanifontodlomka"/>
    <w:link w:val="Tijeloteksta"/>
    <w:rsid w:val="00A530C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ezproreda">
    <w:name w:val="No Spacing"/>
    <w:link w:val="BezproredaChar"/>
    <w:uiPriority w:val="1"/>
    <w:qFormat/>
    <w:rsid w:val="00A530CB"/>
    <w:pPr>
      <w:widowControl/>
      <w:autoSpaceDE/>
      <w:autoSpaceDN/>
    </w:pPr>
    <w:rPr>
      <w:rFonts w:ascii="Calibri" w:eastAsia="Times New Roman" w:hAnsi="Calibri" w:cs="Times New Roman"/>
      <w:lang w:val="hr-HR" w:eastAsia="hr-HR"/>
    </w:rPr>
  </w:style>
  <w:style w:type="character" w:customStyle="1" w:styleId="BezproredaChar">
    <w:name w:val="Bez proreda Char"/>
    <w:link w:val="Bezproreda"/>
    <w:uiPriority w:val="1"/>
    <w:rsid w:val="00A530CB"/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2023-10-24T07:22:00Z</dcterms:created>
  <dcterms:modified xsi:type="dcterms:W3CDTF">2023-10-24T10:40:00Z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Access® 2016</vt:lpwstr>
  </property>
  <property fmtid="{D5CDD505-2E9C-101B-9397-08002B2CF9AE}" pid="4" name="LastSaved">
    <vt:filetime>2022-12-08T00:00:00Z</vt:filetime>
  </property>
</Properties>
</file>